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051DC5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051DC5"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 xml:space="preserve">  №  </w:t>
      </w:r>
      <w:r w:rsidRPr="00051DC5">
        <w:rPr>
          <w:sz w:val="28"/>
          <w:szCs w:val="28"/>
          <w:u w:val="single"/>
        </w:rPr>
        <w:t>762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 обеспечить в приделах своей компетенции выполнение 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B1030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B643D8" w:rsidRPr="009B2231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9B223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   </w:t>
      </w:r>
      <w:r w:rsidRPr="009B2231">
        <w:rPr>
          <w:szCs w:val="28"/>
        </w:rPr>
        <w:t xml:space="preserve">                    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0D4189" w:rsidRDefault="000D4189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284A21" w:rsidRDefault="00284A21" w:rsidP="00B643D8">
      <w:pPr>
        <w:pStyle w:val="a5"/>
        <w:rPr>
          <w:b/>
          <w:szCs w:val="28"/>
        </w:rPr>
      </w:pPr>
    </w:p>
    <w:p w:rsidR="000824D0" w:rsidRDefault="000D4189" w:rsidP="00B643D8">
      <w:pPr>
        <w:pStyle w:val="a5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BE558D" w:rsidRDefault="00284A21" w:rsidP="00A07552">
      <w:pPr>
        <w:pStyle w:val="a5"/>
        <w:rPr>
          <w:sz w:val="24"/>
          <w:szCs w:val="24"/>
        </w:rPr>
        <w:sectPr w:rsidR="00BE558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5-00-37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434F70" w:rsidRDefault="0044516E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Программа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>в границах населенных пунктов Советского муниципального района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E36556">
          <w:rPr>
            <w:rStyle w:val="aa"/>
            <w:sz w:val="28"/>
            <w:szCs w:val="28"/>
            <w:lang w:val="en-US"/>
          </w:rPr>
          <w:t>http</w:t>
        </w:r>
        <w:r w:rsidRPr="00E36556">
          <w:rPr>
            <w:rStyle w:val="aa"/>
            <w:sz w:val="28"/>
            <w:szCs w:val="28"/>
          </w:rPr>
          <w:t>://</w:t>
        </w:r>
        <w:r w:rsidRPr="00E36556">
          <w:rPr>
            <w:rStyle w:val="aa"/>
            <w:sz w:val="28"/>
            <w:szCs w:val="28"/>
            <w:lang w:val="en-US"/>
          </w:rPr>
          <w:t>stepnoe</w:t>
        </w:r>
        <w:r w:rsidRPr="00E36556">
          <w:rPr>
            <w:rStyle w:val="aa"/>
            <w:sz w:val="28"/>
            <w:szCs w:val="28"/>
          </w:rPr>
          <w:t>-</w:t>
        </w:r>
        <w:r w:rsidRPr="00E36556">
          <w:rPr>
            <w:rStyle w:val="aa"/>
            <w:sz w:val="28"/>
            <w:szCs w:val="28"/>
            <w:lang w:val="en-US"/>
          </w:rPr>
          <w:t>adm</w:t>
        </w:r>
        <w:r w:rsidRPr="00E36556">
          <w:rPr>
            <w:rStyle w:val="aa"/>
            <w:sz w:val="28"/>
            <w:szCs w:val="28"/>
          </w:rPr>
          <w:t>.</w:t>
        </w:r>
        <w:r w:rsidRPr="00E36556">
          <w:rPr>
            <w:rStyle w:val="aa"/>
            <w:sz w:val="28"/>
            <w:szCs w:val="28"/>
            <w:lang w:val="en-US"/>
          </w:rPr>
          <w:t>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- предупреждение нарушений гражданами и организациями обязательных требований законодательства в </w:t>
      </w:r>
      <w:r w:rsidRPr="00E36556">
        <w:rPr>
          <w:color w:val="000000"/>
          <w:sz w:val="28"/>
          <w:szCs w:val="28"/>
        </w:rPr>
        <w:lastRenderedPageBreak/>
        <w:t>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 xml:space="preserve">Руководитель аппарата                </w:t>
      </w:r>
      <w:r w:rsidR="00126D4D">
        <w:t xml:space="preserve">                                                                     </w:t>
      </w:r>
      <w:r>
        <w:t xml:space="preserve">                               </w:t>
      </w:r>
      <w:r w:rsidR="00126D4D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>в границах населенных пунктов Советского муниципального района</w:t>
      </w:r>
      <w:r w:rsidR="00340968" w:rsidRPr="00340968">
        <w:rPr>
          <w:bCs/>
          <w:color w:val="000000" w:themeColor="text1"/>
          <w:sz w:val="22"/>
          <w:szCs w:val="22"/>
        </w:rPr>
        <w:t xml:space="preserve"> на 2022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340968" w:rsidP="00A11720">
      <w:pPr>
        <w:jc w:val="both"/>
        <w:rPr>
          <w:bCs/>
        </w:rPr>
      </w:pPr>
      <w:r>
        <w:rPr>
          <w:bCs/>
          <w:u w:val="single"/>
        </w:rPr>
        <w:t>30</w:t>
      </w:r>
      <w:r w:rsidR="00A11720">
        <w:rPr>
          <w:bCs/>
          <w:u w:val="single"/>
        </w:rPr>
        <w:t>.09.2021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5E445B" w:rsidTr="00DE4D87">
        <w:tc>
          <w:tcPr>
            <w:tcW w:w="2660" w:type="dxa"/>
          </w:tcPr>
          <w:p w:rsidR="00A11720" w:rsidRPr="005E445B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 отдела экономики, инвестиционной политики и муниципальных закупок</w:t>
            </w:r>
          </w:p>
        </w:tc>
        <w:tc>
          <w:tcPr>
            <w:tcW w:w="1630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5E445B" w:rsidRDefault="00340968" w:rsidP="00DE4D87">
            <w:pPr>
              <w:rPr>
                <w:bCs/>
              </w:rPr>
            </w:pPr>
            <w:r>
              <w:rPr>
                <w:bCs/>
              </w:rPr>
              <w:t>Л.Э. Галкина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Pr="005C6360">
              <w:rPr>
                <w:bCs/>
              </w:rPr>
              <w:t xml:space="preserve"> правового управления органов местного самоуправления муниципального района</w:t>
            </w:r>
            <w:r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57" w:rsidRDefault="00BF0257" w:rsidP="00DF7960">
      <w:r>
        <w:separator/>
      </w:r>
    </w:p>
  </w:endnote>
  <w:endnote w:type="continuationSeparator" w:id="1">
    <w:p w:rsidR="00BF0257" w:rsidRDefault="00BF0257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F70DC3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F70DC3">
        <w:pPr>
          <w:pStyle w:val="af"/>
          <w:jc w:val="right"/>
        </w:pP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57" w:rsidRDefault="00BF0257" w:rsidP="00DF7960">
      <w:r>
        <w:separator/>
      </w:r>
    </w:p>
  </w:footnote>
  <w:footnote w:type="continuationSeparator" w:id="1">
    <w:p w:rsidR="00BF0257" w:rsidRDefault="00BF0257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0257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0DC3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16052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</cp:lastModifiedBy>
  <cp:revision>13</cp:revision>
  <cp:lastPrinted>2021-12-17T10:09:00Z</cp:lastPrinted>
  <dcterms:created xsi:type="dcterms:W3CDTF">2021-09-30T10:43:00Z</dcterms:created>
  <dcterms:modified xsi:type="dcterms:W3CDTF">2022-02-28T06:24:00Z</dcterms:modified>
</cp:coreProperties>
</file>