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4471F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03.03.2014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208 </w:t>
      </w:r>
    </w:p>
    <w:p w:rsidR="00000000" w:rsidRDefault="00E4471F">
      <w:pPr>
        <w:widowControl w:val="0"/>
        <w:autoSpaceDE w:val="0"/>
        <w:autoSpaceDN w:val="0"/>
        <w:adjustRightInd w:val="0"/>
        <w:spacing w:before="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14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2014-2024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E447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тарифов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</w:t>
      </w:r>
      <w:r>
        <w:rPr>
          <w:rFonts w:ascii="Times New Roman" w:hAnsi="Times New Roman" w:cs="Times New Roman"/>
          <w:color w:val="000000"/>
          <w:sz w:val="28"/>
          <w:szCs w:val="24"/>
        </w:rPr>
        <w:t>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14.06.2013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502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06.05.2011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204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2024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Ивакина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Байбекова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70" w:lineRule="exact"/>
        <w:ind w:left="5473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85" w:lineRule="exact"/>
        <w:ind w:left="54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03.03.2014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555" w:lineRule="exact"/>
        <w:ind w:left="790" w:right="194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Комплексное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систем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коммунальной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инфраструктуры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2014-2024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»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720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25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332" w:right="1515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плексное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2014-2024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75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-2024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Градостроительный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кодекс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30.12.2004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210-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23.11.2009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261-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энергосбережении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энергетической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внесении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законодательные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06.10.2003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131-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принципах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14.06.2013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502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»;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06.05.2011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204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319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447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</w:t>
      </w:r>
      <w:r>
        <w:rPr>
          <w:rFonts w:ascii="Times New Roman" w:hAnsi="Times New Roman" w:cs="Times New Roman"/>
          <w:color w:val="000000"/>
          <w:sz w:val="28"/>
          <w:szCs w:val="24"/>
        </w:rPr>
        <w:t>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19" w:bottom="720" w:left="1440" w:header="720" w:footer="720" w:gutter="0"/>
          <w:cols w:num="3" w:space="720" w:equalWidth="0">
            <w:col w:w="2149" w:space="494"/>
            <w:col w:w="7503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75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перспективного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спроса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нормативными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надежности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- 2014-2020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 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478,74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138,85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98,77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- 93,61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жетные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- 147,5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модернизации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надежности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аварийности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потерь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319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281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447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1762" w:right="74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85"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латанию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дыр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"); </w:t>
      </w:r>
    </w:p>
    <w:p w:rsidR="00000000" w:rsidRDefault="00E447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неэффективны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энергозатраты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неэффективного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предыдущие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тарифной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Причинами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Модернизация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447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общепризнанной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партнерства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проинвентаризированного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79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tabs>
          <w:tab w:val="left" w:pos="1624"/>
        </w:tabs>
        <w:autoSpaceDE w:val="0"/>
        <w:autoSpaceDN w:val="0"/>
        <w:adjustRightInd w:val="0"/>
        <w:spacing w:before="290" w:after="0" w:line="330" w:lineRule="exact"/>
        <w:ind w:left="8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1.1.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1,43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западе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Саратовского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Левобережья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Гранич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Краснокутским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Марксовским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Федоровским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Энгельсским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западе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Сыртовой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28,3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(67%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(2572,9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1,1%.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(19,7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>./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І)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компактный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tabs>
          <w:tab w:val="left" w:pos="4981"/>
        </w:tabs>
        <w:autoSpaceDE w:val="0"/>
        <w:autoSpaceDN w:val="0"/>
        <w:adjustRightInd w:val="0"/>
        <w:spacing w:before="270" w:after="0" w:line="330" w:lineRule="exact"/>
        <w:ind w:left="42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.2.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Климат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вдали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океанов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континентальный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холодной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малоснежной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жарким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сухим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Весна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короткая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непродол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плая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Равнинный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проникновению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сюда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холодный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сухой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континентальный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сибирского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антициклона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суровость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Атлантического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океана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пройдя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разогретой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нагреваются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447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исключаетс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арктического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мороз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прохладу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осенью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заморозки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континентальности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суточные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лебания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амплитуда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35,2°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>12,6°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июль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(+22,6°).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метеостанции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Урбах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+5,0°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Абс</w:t>
      </w:r>
      <w:r>
        <w:rPr>
          <w:rFonts w:ascii="Times New Roman" w:hAnsi="Times New Roman" w:cs="Times New Roman"/>
          <w:color w:val="000000"/>
          <w:sz w:val="28"/>
          <w:szCs w:val="24"/>
        </w:rPr>
        <w:t>олютный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июне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июле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(+40°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абсолютный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41°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безморозного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152  </w:t>
      </w:r>
      <w:r>
        <w:rPr>
          <w:rFonts w:ascii="Times New Roman" w:hAnsi="Times New Roman" w:cs="Times New Roman"/>
          <w:color w:val="000000"/>
          <w:sz w:val="28"/>
          <w:szCs w:val="24"/>
        </w:rPr>
        <w:t>дням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заморозки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снеговой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снежный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залегания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снежного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снежного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8-12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неустойчивый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снежный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небольшая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(5-10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вымерзанию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гибели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Малоснежные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зимы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нередко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оттепели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снежный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колеблется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26,  </w:t>
      </w:r>
      <w:r>
        <w:rPr>
          <w:rFonts w:ascii="Times New Roman" w:hAnsi="Times New Roman" w:cs="Times New Roman"/>
          <w:color w:val="000000"/>
          <w:sz w:val="28"/>
          <w:szCs w:val="24"/>
        </w:rPr>
        <w:t>снег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лиманы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овраги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Разруше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снегового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снегового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 </w:t>
      </w:r>
      <w:r>
        <w:rPr>
          <w:rFonts w:ascii="Times New Roman" w:hAnsi="Times New Roman" w:cs="Times New Roman"/>
          <w:color w:val="000000"/>
          <w:sz w:val="28"/>
          <w:szCs w:val="24"/>
        </w:rPr>
        <w:t>Вегетационный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5°)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вегетации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+10°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равен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153- 156 </w:t>
      </w:r>
      <w:r>
        <w:rPr>
          <w:rFonts w:ascii="Times New Roman" w:hAnsi="Times New Roman" w:cs="Times New Roman"/>
          <w:color w:val="000000"/>
          <w:sz w:val="28"/>
          <w:szCs w:val="24"/>
        </w:rPr>
        <w:t>дням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засушливого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2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увлажнения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2800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2900°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гидротермический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0,4-0,6.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осадков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колеблется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(200-250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холодный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нередко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ливневый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40-60 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пахотном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хорошие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урожаи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зерновых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овощей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корнеплодов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</w:t>
      </w:r>
      <w:r>
        <w:rPr>
          <w:rFonts w:ascii="Times New Roman" w:hAnsi="Times New Roman" w:cs="Times New Roman"/>
          <w:color w:val="000000"/>
          <w:sz w:val="28"/>
          <w:szCs w:val="24"/>
        </w:rPr>
        <w:t>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лишь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52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61%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июне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июле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38-39%.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западного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южного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западного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западные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западные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зимой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юго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западные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осенью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сухость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4,1-4,7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Среднегодовое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суховеями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31,5,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слабых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23,8,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6,7, </w:t>
      </w:r>
      <w:r>
        <w:rPr>
          <w:rFonts w:ascii="Times New Roman" w:hAnsi="Times New Roman" w:cs="Times New Roman"/>
          <w:color w:val="000000"/>
          <w:sz w:val="28"/>
          <w:szCs w:val="24"/>
        </w:rPr>
        <w:t>очень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1,0.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суховеях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южное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16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18%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агроклиматическому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асушливому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жаркому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засушливость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сухость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накоплению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сохранению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влаги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селитьбы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вызывают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tabs>
          <w:tab w:val="left" w:pos="3113"/>
        </w:tabs>
        <w:autoSpaceDE w:val="0"/>
        <w:autoSpaceDN w:val="0"/>
        <w:adjustRightInd w:val="0"/>
        <w:spacing w:after="0" w:line="330" w:lineRule="exact"/>
        <w:ind w:left="26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1.3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1"/>
          <w:sz w:val="28"/>
          <w:szCs w:val="24"/>
        </w:rPr>
        <w:tab/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омики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среднеразвитый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индустриально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аграрного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(2429 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превосходил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>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(643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сравнения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валовая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валовую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</w:t>
      </w:r>
      <w:r>
        <w:rPr>
          <w:rFonts w:ascii="Times New Roman" w:hAnsi="Times New Roman" w:cs="Times New Roman"/>
          <w:color w:val="000000"/>
          <w:sz w:val="28"/>
          <w:szCs w:val="24"/>
        </w:rPr>
        <w:t>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338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1/4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сократилась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1/3.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Ведущую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играет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4-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</w:t>
      </w:r>
      <w:r>
        <w:rPr>
          <w:rFonts w:ascii="Times New Roman" w:hAnsi="Times New Roman" w:cs="Times New Roman"/>
          <w:color w:val="000000"/>
          <w:sz w:val="28"/>
          <w:szCs w:val="24"/>
        </w:rPr>
        <w:t>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1,6%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Балаковского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before="290" w:after="0" w:line="330" w:lineRule="exact"/>
        <w:ind w:left="284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1.4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инфраструктура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наряду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замедления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скорейшее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</w:t>
      </w:r>
      <w:r>
        <w:rPr>
          <w:rFonts w:ascii="Times New Roman" w:hAnsi="Times New Roman" w:cs="Times New Roman"/>
          <w:color w:val="000000"/>
          <w:sz w:val="28"/>
          <w:szCs w:val="24"/>
        </w:rPr>
        <w:t>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Европейской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железнодорожным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57,2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128,44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176,8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before="270" w:after="0" w:line="330" w:lineRule="exact"/>
        <w:ind w:left="363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Электроснабжение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</w:t>
      </w:r>
      <w:r>
        <w:rPr>
          <w:rFonts w:ascii="Times New Roman" w:hAnsi="Times New Roman" w:cs="Times New Roman"/>
          <w:color w:val="000000"/>
          <w:sz w:val="28"/>
          <w:szCs w:val="24"/>
        </w:rPr>
        <w:t>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110, </w:t>
      </w:r>
    </w:p>
    <w:p w:rsidR="00000000" w:rsidRDefault="00E447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энергоснабжающей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МРСК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Широкополье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»-110/10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Энгельсский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>-11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»- 110/35/6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»-110/35/10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Краснокутский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-110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»- 110/35/6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Ждановка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-1»-110/6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Краснокутский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»- 110/35/6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Мокроус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»-110/10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Федоровский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»- 110/35/6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»-110/35/6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-110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»-110/35/6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отпайкой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»- 110/35/6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-110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Маркс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отпайка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»- 110/35/6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Бобровка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-7»-110/6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35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-10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)-10/0,4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35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139,22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железобетонные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225,69 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железобетонных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деревянных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КТП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10/0,4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175 </w:t>
      </w:r>
      <w:r>
        <w:rPr>
          <w:rFonts w:ascii="Times New Roman" w:hAnsi="Times New Roman" w:cs="Times New Roman"/>
          <w:color w:val="000000"/>
          <w:sz w:val="28"/>
          <w:szCs w:val="24"/>
        </w:rPr>
        <w:t>шт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понижающи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трансформаторных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загружено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осенне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зимний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номинальной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лишь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преднамеренном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Существующие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38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Газоснабжение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Источником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Сторожевка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?720-1020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,P=5,5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21,5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-22 - </w:t>
      </w:r>
      <w:r>
        <w:rPr>
          <w:rFonts w:ascii="Times New Roman" w:hAnsi="Times New Roman" w:cs="Times New Roman"/>
          <w:color w:val="000000"/>
          <w:sz w:val="28"/>
          <w:szCs w:val="24"/>
        </w:rPr>
        <w:t>ГС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?325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P=1,8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27,4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4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коридоре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-22  -  </w:t>
      </w:r>
      <w:r>
        <w:rPr>
          <w:rFonts w:ascii="Times New Roman" w:hAnsi="Times New Roman" w:cs="Times New Roman"/>
          <w:color w:val="000000"/>
          <w:sz w:val="28"/>
          <w:szCs w:val="24"/>
        </w:rPr>
        <w:t>ГС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СПХГ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Приволжская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Ж720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P=5,5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27,4 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Первомайское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Сторожевка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?530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P=5,5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14,6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Балаково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?530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P=5,5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</w:t>
      </w:r>
      <w:r>
        <w:rPr>
          <w:rFonts w:ascii="Times New Roman" w:hAnsi="Times New Roman" w:cs="Times New Roman"/>
          <w:color w:val="000000"/>
          <w:sz w:val="28"/>
          <w:szCs w:val="24"/>
        </w:rPr>
        <w:t>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7,25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447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Азия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?1020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?1220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3Ж1220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P=5,5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7,25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Саратовнефтегаз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>-4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ГС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нитки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Ж325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P=3,0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Ж219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P=1,8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20,7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Саратовнефтегаз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E4471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НГСП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Мечетнинский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?159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P=0,2-1,8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</w:t>
      </w:r>
      <w:r>
        <w:rPr>
          <w:rFonts w:ascii="Times New Roman" w:hAnsi="Times New Roman" w:cs="Times New Roman"/>
          <w:color w:val="000000"/>
          <w:sz w:val="28"/>
          <w:szCs w:val="24"/>
        </w:rPr>
        <w:t>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17,3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4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Горчаковка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-5 </w:t>
      </w:r>
      <w:r>
        <w:rPr>
          <w:rFonts w:ascii="Times New Roman" w:hAnsi="Times New Roman" w:cs="Times New Roman"/>
          <w:color w:val="000000"/>
          <w:sz w:val="28"/>
          <w:szCs w:val="24"/>
        </w:rPr>
        <w:t>Васнецовский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?219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=3,0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9,63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НГСП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-5 -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?168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=6,0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17,1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4471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Саратовнефтегаз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00"/>
          <w:sz w:val="28"/>
          <w:szCs w:val="24"/>
        </w:rPr>
        <w:t>Осиновское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-22 - </w:t>
      </w:r>
      <w:r>
        <w:rPr>
          <w:rFonts w:ascii="Times New Roman" w:hAnsi="Times New Roman" w:cs="Times New Roman"/>
          <w:color w:val="000000"/>
          <w:sz w:val="28"/>
          <w:szCs w:val="24"/>
        </w:rPr>
        <w:t>ГС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Ж159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=4,0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8,5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зимнее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Лимано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Грачевского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Энгельсского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хватает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-22 - </w:t>
      </w:r>
      <w:r>
        <w:rPr>
          <w:rFonts w:ascii="Times New Roman" w:hAnsi="Times New Roman" w:cs="Times New Roman"/>
          <w:color w:val="000000"/>
          <w:sz w:val="28"/>
          <w:szCs w:val="24"/>
        </w:rPr>
        <w:t>ГС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компрессорной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0" w:lineRule="exact"/>
        <w:ind w:left="262" w:right="-3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восточнее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- 7955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метанола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- 1516 </w:t>
      </w:r>
    </w:p>
    <w:p w:rsidR="00000000" w:rsidRDefault="00E4471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ПХГ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зимний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ПХГ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восточнее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Саратовнефтегаз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компрессорной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</w:t>
      </w:r>
      <w:r>
        <w:rPr>
          <w:rFonts w:ascii="Times New Roman" w:hAnsi="Times New Roman" w:cs="Times New Roman"/>
          <w:color w:val="000000"/>
          <w:sz w:val="28"/>
          <w:szCs w:val="24"/>
        </w:rPr>
        <w:t>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4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Сторожевка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запитаны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0,5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восточнее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4471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5,3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восточнее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4471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828" w:right="61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5,8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восточнее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-22 - </w:t>
      </w:r>
      <w:r>
        <w:rPr>
          <w:rFonts w:ascii="Times New Roman" w:hAnsi="Times New Roman" w:cs="Times New Roman"/>
          <w:color w:val="000000"/>
          <w:sz w:val="28"/>
          <w:szCs w:val="24"/>
        </w:rPr>
        <w:t>ГС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25"/>
        </w:numPr>
        <w:tabs>
          <w:tab w:val="left" w:pos="8800"/>
        </w:tabs>
        <w:autoSpaceDE w:val="0"/>
        <w:autoSpaceDN w:val="0"/>
        <w:adjustRightInd w:val="0"/>
        <w:spacing w:after="0" w:line="330" w:lineRule="exact"/>
        <w:ind w:left="82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западнее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before="290" w:after="0" w:line="330" w:lineRule="exact"/>
        <w:ind w:left="38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1.7.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Водоснабжение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color w:val="000000"/>
          <w:sz w:val="28"/>
          <w:szCs w:val="24"/>
        </w:rPr>
        <w:t>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водозаборе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водохранилища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водоочистные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обеззараживанию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водозаборе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Ветелка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хлораторная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80%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20%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110,3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―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колеблет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75%.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5" w:lineRule="exact"/>
        <w:ind w:left="262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80%.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Плохое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водозаборных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сказывается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>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3556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3/</w:t>
      </w:r>
      <w:r>
        <w:rPr>
          <w:rFonts w:ascii="Times New Roman" w:hAnsi="Times New Roman" w:cs="Times New Roman"/>
          <w:color w:val="000000"/>
          <w:sz w:val="28"/>
          <w:szCs w:val="24"/>
        </w:rPr>
        <w:t>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3254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3/</w:t>
      </w:r>
      <w:r>
        <w:rPr>
          <w:rFonts w:ascii="Times New Roman" w:hAnsi="Times New Roman" w:cs="Times New Roman"/>
          <w:color w:val="000000"/>
          <w:sz w:val="28"/>
          <w:szCs w:val="24"/>
        </w:rPr>
        <w:t>сут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4471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294,5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3/</w:t>
      </w:r>
      <w:r>
        <w:rPr>
          <w:rFonts w:ascii="Times New Roman" w:hAnsi="Times New Roman" w:cs="Times New Roman"/>
          <w:color w:val="000000"/>
          <w:sz w:val="28"/>
          <w:szCs w:val="24"/>
        </w:rPr>
        <w:t>сут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4471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7,0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3/</w:t>
      </w:r>
      <w:r>
        <w:rPr>
          <w:rFonts w:ascii="Times New Roman" w:hAnsi="Times New Roman" w:cs="Times New Roman"/>
          <w:color w:val="000000"/>
          <w:sz w:val="28"/>
          <w:szCs w:val="24"/>
        </w:rPr>
        <w:t>сут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4471F">
      <w:pPr>
        <w:widowControl w:val="0"/>
        <w:autoSpaceDE w:val="0"/>
        <w:autoSpaceDN w:val="0"/>
        <w:adjustRightInd w:val="0"/>
        <w:spacing w:before="270" w:after="0" w:line="330" w:lineRule="exact"/>
        <w:ind w:left="378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1.8.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Теплоснабжение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3" w:lineRule="exact"/>
        <w:ind w:left="262" w:right="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смешанной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горячего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водонагреватели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двухконтурные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водонагреватели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2" w:lineRule="exact"/>
        <w:ind w:left="262" w:right="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ЦТП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Теплосбыт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Теплосбыт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перерасходу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завышенным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тратам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43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Среднегодовая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39,4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Гкал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расход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4655,4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куб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E4471F">
      <w:pPr>
        <w:widowControl w:val="0"/>
        <w:autoSpaceDE w:val="0"/>
        <w:autoSpaceDN w:val="0"/>
        <w:adjustRightInd w:val="0"/>
        <w:spacing w:before="235" w:after="0" w:line="285" w:lineRule="exact"/>
        <w:ind w:left="1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фондов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E447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12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приросты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94"/>
        <w:gridCol w:w="934"/>
        <w:gridCol w:w="4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Потребители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епловой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2012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2018-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2023-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13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82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энергии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2013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2014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Площадь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2015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2016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2023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2028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3" w:bottom="720" w:left="1440" w:header="720" w:footer="720" w:gutter="0"/>
          <w:cols w:num="10" w:space="720" w:equalWidth="0">
            <w:col w:w="1601" w:space="1979"/>
            <w:col w:w="451" w:space="550"/>
            <w:col w:w="451" w:space="521"/>
            <w:col w:w="1403" w:space="-1"/>
            <w:col w:w="451" w:space="553"/>
            <w:col w:w="451" w:space="496"/>
            <w:col w:w="451" w:space="545"/>
            <w:col w:w="451" w:space="483"/>
            <w:col w:w="451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1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Отапливаемые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3" w:bottom="720" w:left="1440" w:header="720" w:footer="720" w:gutter="0"/>
          <w:cols w:space="720" w:equalWidth="0">
            <w:col w:w="10053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1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</w:t>
      </w:r>
      <w:r>
        <w:rPr>
          <w:rFonts w:ascii="Times New Roman" w:hAnsi="Times New Roman" w:cs="Times New Roman"/>
          <w:color w:val="000000"/>
          <w:sz w:val="20"/>
          <w:szCs w:val="24"/>
        </w:rPr>
        <w:t>ентрализованного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14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теплоснабжения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35" w:lineRule="exact"/>
        <w:ind w:left="149" w:right="2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фонд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47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81295,74  81295,74  81295,74 49963,57  49963,57  49963,57 27845,17  27845,17  27845,17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470" w:lineRule="exact"/>
        <w:ind w:right="-2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86940,74  86940,74  86940,74  86940,74  86940,7 55608,57  556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08,57  55608,57  55608,57  55608,5 27845,17  27845,17  27845,17  27845,17  27845,1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3" w:bottom="720" w:left="1440" w:header="720" w:footer="720" w:gutter="0"/>
          <w:cols w:num="4" w:space="720" w:equalWidth="0">
            <w:col w:w="2144" w:space="341"/>
            <w:col w:w="2678" w:space="334"/>
            <w:col w:w="4556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1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3487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3487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3487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3487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3487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3487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3487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3487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3" w:bottom="720" w:left="1440" w:header="720" w:footer="720" w:gutter="0"/>
          <w:cols w:num="11" w:space="720" w:equalWidth="0">
            <w:col w:w="1792" w:space="-1"/>
            <w:col w:w="2045" w:space="446"/>
            <w:col w:w="405" w:space="555"/>
            <w:col w:w="405" w:space="596"/>
            <w:col w:w="405" w:space="649"/>
            <w:col w:w="405" w:space="596"/>
            <w:col w:w="405" w:space="541"/>
            <w:col w:w="405" w:space="593"/>
            <w:col w:w="405" w:space="529"/>
            <w:col w:w="405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14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3" w:bottom="720" w:left="1440" w:header="720" w:footer="720" w:gutter="0"/>
          <w:cols w:space="720" w:equalWidth="0">
            <w:col w:w="10053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80" w:lineRule="exact"/>
        <w:ind w:left="262" w:right="20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мощности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приросты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мощности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tabs>
          <w:tab w:val="left" w:pos="2527"/>
          <w:tab w:val="left" w:pos="3893"/>
          <w:tab w:val="left" w:pos="5261"/>
          <w:tab w:val="left" w:pos="6627"/>
          <w:tab w:val="left" w:pos="7996"/>
          <w:tab w:val="left" w:pos="9361"/>
        </w:tabs>
        <w:autoSpaceDE w:val="0"/>
        <w:autoSpaceDN w:val="0"/>
        <w:adjustRightInd w:val="0"/>
        <w:spacing w:after="0" w:line="195" w:lineRule="exact"/>
        <w:ind w:left="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Потребители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2012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2013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2014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2016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2017 </w:t>
      </w:r>
    </w:p>
    <w:p w:rsidR="00000000" w:rsidRDefault="00E4471F">
      <w:pPr>
        <w:widowControl w:val="0"/>
        <w:tabs>
          <w:tab w:val="left" w:pos="4073"/>
        </w:tabs>
        <w:autoSpaceDE w:val="0"/>
        <w:autoSpaceDN w:val="0"/>
        <w:adjustRightInd w:val="0"/>
        <w:spacing w:before="45" w:after="0" w:line="195" w:lineRule="exact"/>
        <w:ind w:left="41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энергии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Присоединенная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тепловая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нагрузка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мощность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69"/>
        <w:gridCol w:w="1297"/>
        <w:gridCol w:w="756"/>
        <w:gridCol w:w="612"/>
        <w:gridCol w:w="70"/>
        <w:gridCol w:w="684"/>
        <w:gridCol w:w="612"/>
        <w:gridCol w:w="69"/>
        <w:gridCol w:w="687"/>
        <w:gridCol w:w="612"/>
        <w:gridCol w:w="70"/>
        <w:gridCol w:w="684"/>
        <w:gridCol w:w="612"/>
        <w:gridCol w:w="70"/>
        <w:gridCol w:w="366"/>
        <w:gridCol w:w="320"/>
        <w:gridCol w:w="3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92" w:type="dxa"/>
          <w:trHeight w:hRule="exact" w:val="295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761" w:type="dxa"/>
          <w:trHeight w:hRule="exact" w:val="295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85" w:type="dxa"/>
          <w:trHeight w:hRule="exact" w:val="475"/>
        </w:trPr>
        <w:tc>
          <w:tcPr>
            <w:tcW w:w="4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Централизованное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теплоснабжение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210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12,69  0,047  12,69  0,047  12,69  0,047  12,99  0,047  12,99  0,047  12,99  0,047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2" w:right="3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62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Жилой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фонд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8,573  0,047  8,573  0,047  8,573  0,047  8,887  0,047  8,887  0,047  8,887  0,047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3" w:space="720" w:equalWidth="0">
            <w:col w:w="1536" w:space="567"/>
            <w:col w:w="7969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5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space="720" w:equalWidth="0">
            <w:col w:w="10072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30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сферы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3,72  0,00  3,72  0,00  3,72  0,00  3,72  0,00  3,72  0,00  3,72  0,00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4" w:space="720" w:equalWidth="0">
            <w:col w:w="1860" w:space="-1"/>
            <w:col w:w="1436" w:space="347"/>
            <w:col w:w="7878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88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space="720" w:equalWidth="0">
            <w:col w:w="10072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8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0,39  0,00  0,39  0,00  0,39  0,00  0,39  0,00  0,39  0,00  0,39  0,00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3" w:space="720" w:equalWidth="0">
            <w:col w:w="1341" w:space="807"/>
            <w:col w:w="7878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5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6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before="215" w:after="0" w:line="280" w:lineRule="exact"/>
        <w:ind w:left="262" w:right="20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мощности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приросты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мощности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продолжение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space="720" w:equalWidth="0">
            <w:col w:w="10072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left="51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Потребители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2018-2023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2023-2028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4" w:space="720" w:equalWidth="0">
            <w:col w:w="2214" w:space="1874"/>
            <w:col w:w="734" w:space="3076"/>
            <w:col w:w="734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left="105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энергии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Присоединенная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тепловая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нагрузка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мощность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4" w:space="720" w:equalWidth="0">
            <w:col w:w="1675" w:space="2632"/>
            <w:col w:w="4107" w:space="622"/>
            <w:col w:w="36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left="308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Отопление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ГВС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Отопление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ГВС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5" w:space="720" w:equalWidth="0">
            <w:col w:w="3920" w:space="1304"/>
            <w:col w:w="364" w:space="1309"/>
            <w:col w:w="833" w:space="1306"/>
            <w:col w:w="364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180" w:lineRule="exact"/>
        <w:ind w:left="663" w:right="798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Централизованное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теплоснабжение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space="720" w:equalWidth="0">
            <w:col w:w="10072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327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12,99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0,047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12,99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0,047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5" w:space="720" w:equalWidth="0">
            <w:col w:w="3730" w:space="1453"/>
            <w:col w:w="451" w:space="1455"/>
            <w:col w:w="451" w:space="1455"/>
            <w:col w:w="451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9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Жилой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фонд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8,887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0,047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8,887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0,047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6" w:space="720" w:equalWidth="0">
            <w:col w:w="1819" w:space="1460"/>
            <w:col w:w="451" w:space="1453"/>
            <w:col w:w="451" w:space="1455"/>
            <w:col w:w="451" w:space="1455"/>
            <w:col w:w="451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28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сферы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Зоны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3,72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3,72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7" w:space="720" w:equalWidth="0">
            <w:col w:w="2444" w:space="-1"/>
            <w:col w:w="1890" w:space="1014"/>
            <w:col w:w="359" w:space="1544"/>
            <w:col w:w="359" w:space="1546"/>
            <w:col w:w="360" w:space="1546"/>
            <w:col w:w="359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50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1904"/>
        <w:gridCol w:w="1905"/>
        <w:gridCol w:w="1906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0,39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0,39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471F">
      <w:pPr>
        <w:widowControl w:val="0"/>
        <w:autoSpaceDE w:val="0"/>
        <w:autoSpaceDN w:val="0"/>
        <w:adjustRightInd w:val="0"/>
        <w:spacing w:after="0" w:line="280" w:lineRule="exact"/>
        <w:ind w:left="262" w:right="8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1.3.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энергии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приросты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энергии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471F">
      <w:pPr>
        <w:widowControl w:val="0"/>
        <w:tabs>
          <w:tab w:val="left" w:pos="2386"/>
          <w:tab w:val="left" w:pos="3751"/>
          <w:tab w:val="left" w:pos="5120"/>
          <w:tab w:val="left" w:pos="6488"/>
          <w:tab w:val="left" w:pos="7854"/>
          <w:tab w:val="left" w:pos="9222"/>
        </w:tabs>
        <w:autoSpaceDE w:val="0"/>
        <w:autoSpaceDN w:val="0"/>
        <w:adjustRightInd w:val="0"/>
        <w:spacing w:before="105" w:after="0" w:line="195" w:lineRule="exact"/>
        <w:ind w:left="5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Потребители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2012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2013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2014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2016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2017 </w:t>
      </w:r>
    </w:p>
    <w:p w:rsidR="00000000" w:rsidRDefault="00E4471F">
      <w:pPr>
        <w:widowControl w:val="0"/>
        <w:tabs>
          <w:tab w:val="left" w:pos="4507"/>
        </w:tabs>
        <w:autoSpaceDE w:val="0"/>
        <w:autoSpaceDN w:val="0"/>
        <w:adjustRightInd w:val="0"/>
        <w:spacing w:before="65" w:after="0" w:line="195" w:lineRule="exact"/>
        <w:ind w:left="34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энергии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годового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70"/>
        <w:gridCol w:w="1296"/>
        <w:gridCol w:w="756"/>
        <w:gridCol w:w="612"/>
        <w:gridCol w:w="70"/>
        <w:gridCol w:w="687"/>
        <w:gridCol w:w="612"/>
        <w:gridCol w:w="69"/>
        <w:gridCol w:w="684"/>
        <w:gridCol w:w="613"/>
        <w:gridCol w:w="69"/>
        <w:gridCol w:w="687"/>
        <w:gridCol w:w="612"/>
        <w:gridCol w:w="69"/>
        <w:gridCol w:w="367"/>
        <w:gridCol w:w="317"/>
        <w:gridCol w:w="3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20" w:type="dxa"/>
          <w:trHeight w:hRule="exact" w:val="295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690" w:type="dxa"/>
          <w:trHeight w:hRule="exact" w:val="295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82" w:type="dxa"/>
          <w:trHeight w:hRule="exact" w:val="475"/>
        </w:trPr>
        <w:tc>
          <w:tcPr>
            <w:tcW w:w="4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Централизованное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теплоснабжение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2007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39,4  0,110  39,4  0,110  39,4  0,110  40,07  0,110  40,07  0,110  40,07  0,110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space="720" w:equalWidth="0">
            <w:col w:w="10072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5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Жилой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фонд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28,06  0,110  28,06  0,110  28,72  0,110  28,72  0,110  28,72  0,110  28,72  0,110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3" w:space="720" w:equalWidth="0">
            <w:col w:w="1466" w:space="495"/>
            <w:col w:w="7969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space="720" w:equalWidth="0">
            <w:col w:w="10072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29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сферы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10,77  0,00  10,77  0,00  10,77  0,00  10,77  0,00  10,77  0,00  10,77  0,00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4" w:space="720" w:equalWidth="0">
            <w:col w:w="1730" w:space="-1"/>
            <w:col w:w="1043" w:space="428"/>
            <w:col w:w="7923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left="756" w:right="878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Зоны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35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space="720" w:equalWidth="0">
            <w:col w:w="10072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44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0,566  0,00  0,566  0,00  0,566  0,00  0,566  0,00  0,566 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0,00  0,566  0,00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4" w:space="720" w:equalWidth="0">
            <w:col w:w="1577" w:space="-1"/>
            <w:col w:w="515" w:space="692"/>
            <w:col w:w="7923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5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left="35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Индивидуальные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space="720" w:equalWidth="0">
            <w:col w:w="10072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left="60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15,24  2,28  15,24  2,28  15,24  2,28  15,24  2,28  15,24  2,28  15,24  2,28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3" w:space="720" w:equalWidth="0">
            <w:col w:w="1422" w:space="539"/>
            <w:col w:w="7923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left="39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теплоснабжения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space="720" w:equalWidth="0">
            <w:col w:w="10072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5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Жилой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фонд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15,24  2,28  15,24  2,28  15,24  2,28  15,24  2,28  15,24  2,28  15,24  2,28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3" w:space="720" w:equalWidth="0">
            <w:col w:w="1466" w:space="495"/>
            <w:col w:w="7923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4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space="720" w:equalWidth="0">
            <w:col w:w="10072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29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сферы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0,00  0,00  0,00  0,00  0,00  0,00  0,00  0,00  0,00  0,00  0,00  0,00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num="4" w:space="720" w:equalWidth="0">
            <w:col w:w="1730" w:space="-1"/>
            <w:col w:w="1043" w:space="474"/>
            <w:col w:w="7878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7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4" w:bottom="720" w:left="1440" w:header="720" w:footer="720" w:gutter="0"/>
          <w:cols w:space="720" w:equalWidth="0">
            <w:col w:w="10072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8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Зоны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35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2" w:right="495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75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0,00  0,00  0,00  0,00  0,00  0,00  0,00  0,00  0,00  0,00  0,00  0,00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3" w:space="720" w:equalWidth="0">
            <w:col w:w="1269" w:space="738"/>
            <w:col w:w="7878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44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5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before="235" w:after="0" w:line="280" w:lineRule="exact"/>
        <w:ind w:left="262" w:right="-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1.3.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энергии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приросты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энергии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продолжение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space="720" w:equalWidth="0">
            <w:col w:w="997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4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Потребители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99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энергии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2018-2023 </w:t>
      </w:r>
    </w:p>
    <w:p w:rsidR="00000000" w:rsidRDefault="00E4471F">
      <w:pPr>
        <w:widowControl w:val="0"/>
        <w:autoSpaceDE w:val="0"/>
        <w:autoSpaceDN w:val="0"/>
        <w:adjustRightInd w:val="0"/>
        <w:spacing w:before="65" w:after="0" w:line="195" w:lineRule="exact"/>
        <w:ind w:left="79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годового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потребления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Гкал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2023-2028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4" w:space="720" w:equalWidth="0">
            <w:col w:w="2090" w:space="1708"/>
            <w:col w:w="3749" w:space="63"/>
            <w:col w:w="734" w:space="0"/>
            <w:col w:w="-1"/>
          </w:cols>
          <w:noEndnote/>
        </w:sect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9"/>
        <w:gridCol w:w="2098"/>
        <w:gridCol w:w="1862"/>
        <w:gridCol w:w="1950"/>
        <w:gridCol w:w="41"/>
        <w:gridCol w:w="364"/>
        <w:gridCol w:w="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209" w:type="dxa"/>
          <w:wAfter w:w="45" w:type="dxa"/>
          <w:trHeight w:hRule="exact" w:val="29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ентрализованное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теплоснабжение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ГВС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40,066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0,110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40,066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0,110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                      28,72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0,110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28,72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0,110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                10,77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10,77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left="435" w:right="780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Зоны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прои</w:t>
      </w:r>
      <w:r>
        <w:rPr>
          <w:rFonts w:ascii="Times New Roman" w:hAnsi="Times New Roman" w:cs="Times New Roman"/>
          <w:color w:val="000000"/>
          <w:sz w:val="16"/>
          <w:szCs w:val="24"/>
        </w:rPr>
        <w:t>зводственных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space="720" w:equalWidth="0">
            <w:col w:w="997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4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0,566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0,566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7" w:space="720" w:equalWidth="0">
            <w:col w:w="2112" w:space="-1"/>
            <w:col w:w="923" w:space="1237"/>
            <w:col w:w="451" w:space="1501"/>
            <w:col w:w="359" w:space="1501"/>
            <w:col w:w="451" w:space="1501"/>
            <w:col w:w="359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left="63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Индивидуальные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space="720" w:equalWidth="0">
            <w:col w:w="997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left="87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15,24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2,28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15,24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2,28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6" w:space="720" w:equalWidth="0">
            <w:col w:w="1700" w:space="1289"/>
            <w:col w:w="451" w:space="1501"/>
            <w:col w:w="359" w:space="1501"/>
            <w:col w:w="451" w:space="1501"/>
            <w:col w:w="359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195" w:lineRule="exact"/>
        <w:ind w:left="67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теплоснабжения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space="720" w:equalWidth="0">
            <w:col w:w="997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8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Жилой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фонд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15,24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2,28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15,24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2,28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6" w:space="720" w:equalWidth="0">
            <w:col w:w="1745" w:space="1244"/>
            <w:col w:w="451" w:space="1501"/>
            <w:col w:w="359" w:space="1501"/>
            <w:col w:w="451" w:space="1501"/>
            <w:col w:w="359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76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space="720" w:equalWidth="0">
            <w:col w:w="997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10" w:lineRule="exact"/>
        <w:ind w:left="57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сферы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6" w:space="720" w:equalWidth="0">
            <w:col w:w="2008" w:space="1027"/>
            <w:col w:w="359" w:space="1547"/>
            <w:col w:w="359" w:space="1546"/>
            <w:col w:w="359" w:space="1547"/>
            <w:col w:w="359" w:space="0"/>
            <w:col w:w="-1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left="435" w:right="780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Зоны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4"/>
        <w:gridCol w:w="1906"/>
        <w:gridCol w:w="1905"/>
        <w:gridCol w:w="1906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0,00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1851" w:right="147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before="265" w:after="0" w:line="31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</w:t>
      </w:r>
      <w:r>
        <w:rPr>
          <w:rFonts w:ascii="Times New Roman" w:hAnsi="Times New Roman" w:cs="Times New Roman"/>
          <w:color w:val="000000"/>
          <w:sz w:val="28"/>
          <w:szCs w:val="24"/>
        </w:rPr>
        <w:t>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4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ключевых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тарифного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space="720" w:equalWidth="0">
            <w:col w:w="9971"/>
          </w:cols>
          <w:noEndnote/>
        </w:sectPr>
      </w:pPr>
    </w:p>
    <w:p w:rsidR="00000000" w:rsidRDefault="00E4471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</w:t>
      </w:r>
      <w:r>
        <w:rPr>
          <w:rFonts w:ascii="Times New Roman" w:hAnsi="Times New Roman" w:cs="Times New Roman"/>
          <w:color w:val="000000"/>
          <w:sz w:val="28"/>
          <w:szCs w:val="24"/>
        </w:rPr>
        <w:t>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осенне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зимний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утилизации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полигона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мусороперегрузочных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4471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энергосервисных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</w:t>
      </w:r>
      <w:r>
        <w:rPr>
          <w:rFonts w:ascii="Times New Roman" w:hAnsi="Times New Roman" w:cs="Times New Roman"/>
          <w:color w:val="000000"/>
          <w:sz w:val="28"/>
          <w:szCs w:val="24"/>
        </w:rPr>
        <w:t>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разбивкой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разбивки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before="270" w:after="0" w:line="330" w:lineRule="exact"/>
        <w:ind w:left="22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85"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E4471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4471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478,74 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138,85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98,77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93,61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147,5  </w:t>
      </w:r>
      <w:r>
        <w:rPr>
          <w:rFonts w:ascii="Times New Roman" w:hAnsi="Times New Roman" w:cs="Times New Roman"/>
          <w:color w:val="000000"/>
          <w:sz w:val="28"/>
          <w:szCs w:val="24"/>
        </w:rPr>
        <w:t>млн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290" w:after="0" w:line="330" w:lineRule="exact"/>
        <w:ind w:left="9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E4471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70" w:after="0" w:line="330" w:lineRule="exact"/>
        <w:ind w:left="11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before="12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4471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консолидацию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before="270" w:after="0" w:line="640" w:lineRule="exact"/>
        <w:ind w:left="828" w:right="41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Перспективы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устаревшего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перерасходу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завышенным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7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яс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ненакапливания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эксплуатирующей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</w:t>
      </w:r>
      <w:r>
        <w:rPr>
          <w:rFonts w:ascii="Times New Roman" w:hAnsi="Times New Roman" w:cs="Times New Roman"/>
          <w:color w:val="000000"/>
          <w:sz w:val="28"/>
          <w:szCs w:val="24"/>
        </w:rPr>
        <w:t>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недозагруженными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впустую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4471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</w:p>
    <w:p w:rsidR="00000000" w:rsidRDefault="00E4471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теплотрасс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</w:p>
    <w:p w:rsidR="00000000" w:rsidRDefault="00E4471F">
      <w:pPr>
        <w:widowControl w:val="0"/>
        <w:numPr>
          <w:ilvl w:val="0"/>
          <w:numId w:val="41"/>
        </w:numPr>
        <w:tabs>
          <w:tab w:val="left" w:pos="1077"/>
        </w:tabs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перераспределением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9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нерентабе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………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7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(30-40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Биологическое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обрастание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минеральные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Электрохимическая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коррозия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перебоям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</w:t>
      </w:r>
      <w:r>
        <w:rPr>
          <w:rFonts w:ascii="Times New Roman" w:hAnsi="Times New Roman" w:cs="Times New Roman"/>
          <w:color w:val="000000"/>
          <w:sz w:val="28"/>
          <w:szCs w:val="24"/>
        </w:rPr>
        <w:t>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порывов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ветхих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колодцев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арматуры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бесперебойной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закольцевать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мко</w:t>
      </w:r>
      <w:r>
        <w:rPr>
          <w:rFonts w:ascii="Times New Roman" w:hAnsi="Times New Roman" w:cs="Times New Roman"/>
          <w:color w:val="000000"/>
          <w:sz w:val="28"/>
          <w:szCs w:val="24"/>
        </w:rPr>
        <w:t>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30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0" w:bottom="720" w:left="1440" w:header="720" w:footer="720" w:gutter="0"/>
          <w:cols w:num="3" w:space="720" w:equalWidth="0">
            <w:col w:w="5267" w:space="614"/>
            <w:col w:w="149" w:space="0"/>
            <w:col w:w="-1"/>
          </w:cols>
          <w:noEndnote/>
        </w:sectPr>
      </w:pPr>
    </w:p>
    <w:p w:rsidR="00000000" w:rsidRDefault="00E4471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резервуары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2.01.51-90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.4.11); </w:t>
      </w:r>
    </w:p>
    <w:p w:rsidR="00000000" w:rsidRDefault="00E4471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4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0" w:bottom="720" w:left="1440" w:header="720" w:footer="720" w:gutter="0"/>
          <w:cols w:space="720" w:equalWidth="0">
            <w:col w:w="10036"/>
          </w:cols>
          <w:noEndnote/>
        </w:sectPr>
      </w:pPr>
    </w:p>
    <w:p w:rsidR="00000000" w:rsidRDefault="00E4471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</w:t>
      </w:r>
      <w:r>
        <w:rPr>
          <w:rFonts w:ascii="Times New Roman" w:hAnsi="Times New Roman" w:cs="Times New Roman"/>
          <w:color w:val="000000"/>
          <w:sz w:val="28"/>
          <w:szCs w:val="24"/>
        </w:rPr>
        <w:t>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before="270"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(d 200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d 400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чугун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полиэтилен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биопруд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Караман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выгребные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ассенизационных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вывозятся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Выгребные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герметичной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емкос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оштукатуренный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кирпич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выгребных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выгребу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ассенизационной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шт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</w:t>
      </w:r>
      <w:r>
        <w:rPr>
          <w:rFonts w:ascii="Times New Roman" w:hAnsi="Times New Roman" w:cs="Times New Roman"/>
          <w:color w:val="000000"/>
          <w:sz w:val="28"/>
          <w:szCs w:val="24"/>
        </w:rPr>
        <w:t>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1986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2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изначальных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2.1.4.1074-01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напорн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</w:p>
    <w:p w:rsidR="00000000" w:rsidRDefault="00E4471F">
      <w:pPr>
        <w:widowControl w:val="0"/>
        <w:tabs>
          <w:tab w:val="left" w:pos="817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E4471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роизвести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устаревшего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before="270"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электроснабж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0,4-6/10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</w:t>
      </w:r>
      <w:r>
        <w:rPr>
          <w:rFonts w:ascii="Times New Roman" w:hAnsi="Times New Roman" w:cs="Times New Roman"/>
          <w:color w:val="000000"/>
          <w:sz w:val="28"/>
          <w:szCs w:val="24"/>
        </w:rPr>
        <w:t>ействиям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110/35/10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- 90,6%.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50%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 - 48% (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7,1%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1965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.);</w:t>
      </w:r>
    </w:p>
    <w:p w:rsidR="00000000" w:rsidRDefault="00E4471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</w:t>
      </w:r>
      <w:r>
        <w:rPr>
          <w:rFonts w:ascii="Times New Roman" w:hAnsi="Times New Roman" w:cs="Times New Roman"/>
          <w:color w:val="000000"/>
          <w:sz w:val="28"/>
          <w:szCs w:val="24"/>
        </w:rPr>
        <w:t>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1980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.);</w:t>
      </w:r>
    </w:p>
    <w:p w:rsidR="00000000" w:rsidRDefault="00E4471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Бобровка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>-7» (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1979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.);</w:t>
      </w:r>
    </w:p>
    <w:p w:rsidR="00000000" w:rsidRDefault="00E4471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1979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.);</w:t>
      </w:r>
    </w:p>
    <w:p w:rsidR="00000000" w:rsidRDefault="00E4471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Урбах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1982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.);</w:t>
      </w:r>
    </w:p>
    <w:p w:rsidR="00000000" w:rsidRDefault="00E4471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1979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.);</w:t>
      </w:r>
    </w:p>
    <w:p w:rsidR="00000000" w:rsidRDefault="00E4471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БКНС</w:t>
      </w:r>
      <w:r>
        <w:rPr>
          <w:rFonts w:ascii="Times New Roman" w:hAnsi="Times New Roman" w:cs="Times New Roman"/>
          <w:color w:val="000000"/>
          <w:sz w:val="28"/>
          <w:szCs w:val="24"/>
        </w:rPr>
        <w:t>-1» (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1980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.);</w:t>
      </w:r>
    </w:p>
    <w:p w:rsidR="00000000" w:rsidRDefault="00E4471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БКНС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3» (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1980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.);</w:t>
      </w:r>
    </w:p>
    <w:p w:rsidR="00000000" w:rsidRDefault="00E4471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>-1» (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1981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.) (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64,3%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КТП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10/0,4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40,5%.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50%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22,8%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КТП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65,7%,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75%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42,9%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50%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28,6%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-35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56,7%,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75%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14,3%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-35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50%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28,6%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-35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3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43,4%,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50%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44,8%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4471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»-110/35/6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4471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-35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Наливная–Тамбовка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4471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-0,4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-6,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-7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7,5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Большинство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.1.2.21 </w:t>
      </w:r>
      <w:r>
        <w:rPr>
          <w:rFonts w:ascii="Times New Roman" w:hAnsi="Times New Roman" w:cs="Times New Roman"/>
          <w:color w:val="000000"/>
          <w:sz w:val="28"/>
          <w:szCs w:val="24"/>
        </w:rPr>
        <w:t>ПУЭ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tabs>
          <w:tab w:val="left" w:pos="181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суток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зимних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tabs>
          <w:tab w:val="left" w:pos="8600"/>
          <w:tab w:val="left" w:pos="880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резервного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первостепенной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грозит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двусторонним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соцкультбыта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before="270"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загруженность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90%.  2.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2025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заканчиваются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 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38  </w:t>
      </w:r>
      <w:r>
        <w:rPr>
          <w:rFonts w:ascii="Times New Roman" w:hAnsi="Times New Roman" w:cs="Times New Roman"/>
          <w:color w:val="000000"/>
          <w:sz w:val="28"/>
          <w:szCs w:val="24"/>
        </w:rPr>
        <w:t>ГРПШ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газокомпрессорной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газомотокомпрессора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левобережный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4471F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газокомпрессорной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редуцирования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одоранта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4471F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7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упнига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Ж225 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9,1 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Новолиповка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Ж225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10,0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2025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tabs>
          <w:tab w:val="left" w:pos="581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53,48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ГРПШ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 </w:t>
      </w:r>
      <w:r>
        <w:rPr>
          <w:rFonts w:ascii="Times New Roman" w:hAnsi="Times New Roman" w:cs="Times New Roman"/>
          <w:color w:val="000000"/>
          <w:sz w:val="28"/>
          <w:szCs w:val="24"/>
        </w:rPr>
        <w:t>ГРПШ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before="270" w:after="0" w:line="340" w:lineRule="exact"/>
        <w:ind w:left="262" w:right="-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утилизации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обезвреживания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твердых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рдых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ландшафта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агрязнение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усугубляется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контейнер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полимерной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стекл</w:t>
      </w:r>
      <w:r>
        <w:rPr>
          <w:rFonts w:ascii="Times New Roman" w:hAnsi="Times New Roman" w:cs="Times New Roman"/>
          <w:color w:val="000000"/>
          <w:sz w:val="28"/>
          <w:szCs w:val="24"/>
        </w:rPr>
        <w:t>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металлической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пищевыми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выбрасываются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лекарства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истекшим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разбитые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ртутьсодержащие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термометры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люминесцентные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ядохимикатов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вывозится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свалки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полигона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мусороперегрузочной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3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отработанных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ртутьсодержащих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ртутным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4471F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4471F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before="270" w:after="0" w:line="320" w:lineRule="exact"/>
        <w:ind w:left="1088" w:right="22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4471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before="245" w:after="0" w:line="323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</w:t>
      </w:r>
      <w:r>
        <w:rPr>
          <w:rFonts w:ascii="Times New Roman" w:hAnsi="Times New Roman" w:cs="Times New Roman"/>
          <w:color w:val="000000"/>
          <w:sz w:val="28"/>
          <w:szCs w:val="24"/>
        </w:rPr>
        <w:t>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4471F">
      <w:pPr>
        <w:widowControl w:val="0"/>
        <w:autoSpaceDE w:val="0"/>
        <w:autoSpaceDN w:val="0"/>
        <w:adjustRightInd w:val="0"/>
        <w:spacing w:before="12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0"/>
          <w:szCs w:val="24"/>
        </w:rPr>
        <w:t>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2014-2024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E4471F">
      <w:pPr>
        <w:widowControl w:val="0"/>
        <w:autoSpaceDE w:val="0"/>
        <w:autoSpaceDN w:val="0"/>
        <w:adjustRightInd w:val="0"/>
        <w:spacing w:before="135" w:after="0" w:line="285" w:lineRule="exact"/>
        <w:ind w:left="717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85" w:lineRule="exact"/>
        <w:ind w:left="492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85" w:lineRule="exact"/>
        <w:ind w:left="109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Комплексное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2014-2024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E4471F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35" w:after="0" w:line="225" w:lineRule="exact"/>
        <w:ind w:left="939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</w:t>
      </w:r>
    </w:p>
    <w:p w:rsidR="00000000" w:rsidRDefault="00E4471F">
      <w:pPr>
        <w:widowControl w:val="0"/>
        <w:numPr>
          <w:ilvl w:val="0"/>
          <w:numId w:val="59"/>
        </w:numPr>
        <w:tabs>
          <w:tab w:val="left" w:pos="5088"/>
          <w:tab w:val="left" w:pos="8045"/>
          <w:tab w:val="left" w:pos="9481"/>
          <w:tab w:val="left" w:pos="10839"/>
          <w:tab w:val="left" w:pos="12008"/>
          <w:tab w:val="left" w:pos="13763"/>
        </w:tabs>
        <w:autoSpaceDE w:val="0"/>
        <w:autoSpaceDN w:val="0"/>
        <w:adjustRightInd w:val="0"/>
        <w:spacing w:before="75"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внебюджетных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4993"/>
        <w:gridCol w:w="1951"/>
        <w:gridCol w:w="1325"/>
        <w:gridCol w:w="1275"/>
        <w:gridCol w:w="1414"/>
        <w:gridCol w:w="1682"/>
        <w:gridCol w:w="1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прогно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зно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)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)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)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61" w:right="401" w:bottom="660" w:left="955" w:header="0" w:footer="0" w:gutter="0"/>
          <w:cols w:space="720"/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239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tLeast"/>
        <w:ind w:left="523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3 4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5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6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8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1" w:bottom="720" w:left="955" w:header="720" w:footer="720" w:gutter="0"/>
          <w:cols w:num="7" w:space="720" w:equalWidth="0">
            <w:col w:w="7037" w:space="1484"/>
            <w:col w:w="136" w:space="1189"/>
            <w:col w:w="136" w:space="1138"/>
            <w:col w:w="136" w:space="1283"/>
            <w:col w:w="136" w:space="1702"/>
            <w:col w:w="151" w:space="0"/>
            <w:col w:w="-1"/>
          </w:cols>
          <w:noEndnote/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3"/>
        <w:gridCol w:w="1868"/>
        <w:gridCol w:w="1632"/>
        <w:gridCol w:w="1322"/>
        <w:gridCol w:w="1277"/>
        <w:gridCol w:w="1417"/>
        <w:gridCol w:w="1265"/>
        <w:gridCol w:w="18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перераспределением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нагрузки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закрытием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11000,0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министраций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перевооружение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2014-2024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25000,0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25000,0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заменой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изношенных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увели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диаметров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2014-2024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70000,0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30000,0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30000,0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10000,0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Прокладка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планируемой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застройках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устройством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колодцев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пожарных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гидрантов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запор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арматуры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2014-2024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40000,0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20000,0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20000,0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Закольцовка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распределительных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холодного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21000,0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19000,0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головных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sz w:val="20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2015-2024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15000,0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10000,0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противопожарного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водопровода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питьевым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водопроводом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пожарных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гидрантов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2019-2021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4000,0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1" w:bottom="720" w:left="955" w:header="720" w:footer="720" w:gutter="0"/>
          <w:cols w:space="720" w:equalWidth="0">
            <w:col w:w="15482"/>
          </w:cols>
          <w:noEndnote/>
        </w:sectPr>
      </w:pP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21" w:right="454" w:bottom="660" w:left="955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4" w:bottom="720" w:left="955" w:header="720" w:footer="720" w:gutter="0"/>
          <w:cols w:num="10" w:space="720" w:equalWidth="0">
            <w:col w:w="201" w:space="2197"/>
            <w:col w:w="151" w:space="2684"/>
            <w:col w:w="151" w:space="1503"/>
            <w:col w:w="151" w:space="1479"/>
            <w:col w:w="151" w:space="1174"/>
            <w:col w:w="151" w:space="1124"/>
            <w:col w:w="151" w:space="1268"/>
            <w:col w:w="151" w:space="1693"/>
            <w:col w:w="151" w:space="0"/>
            <w:col w:w="-1"/>
          </w:cols>
          <w:noEndnote/>
        </w:sectPr>
      </w:pPr>
    </w:p>
    <w:p w:rsidR="00000000" w:rsidRDefault="00E4471F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20" w:lineRule="exact"/>
        <w:ind w:left="50" w:right="-22" w:firstLine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самотечных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канал</w:t>
      </w:r>
      <w:r>
        <w:rPr>
          <w:rFonts w:ascii="Times New Roman" w:hAnsi="Times New Roman" w:cs="Times New Roman"/>
          <w:color w:val="000000"/>
          <w:sz w:val="20"/>
          <w:szCs w:val="24"/>
        </w:rPr>
        <w:t>изационных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планируемой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многоэтажной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left="4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0"/>
          <w:szCs w:val="24"/>
        </w:rPr>
        <w:t>гг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1000,0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1000,0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застройщики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4" w:bottom="720" w:left="955" w:header="720" w:footer="720" w:gutter="0"/>
          <w:cols w:num="9" w:space="720" w:equalWidth="0">
            <w:col w:w="4347" w:space="603"/>
            <w:col w:w="715" w:space="997"/>
            <w:col w:w="599" w:space="1273"/>
            <w:col w:w="117" w:space="1208"/>
            <w:col w:w="117" w:space="1157"/>
            <w:col w:w="117" w:space="1060"/>
            <w:col w:w="599" w:space="800"/>
            <w:col w:w="148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1843"/>
        <w:gridCol w:w="1633"/>
        <w:gridCol w:w="1372"/>
        <w:gridCol w:w="1277"/>
        <w:gridCol w:w="1366"/>
        <w:gridCol w:w="1268"/>
        <w:gridCol w:w="19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Завершение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161240,6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98856,3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60774,7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1609,8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полигона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10000,0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8000,0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отработанных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ртутьсодержащих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ламп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ртутным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2014-2016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2500,0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2500,0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бытовых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вывозу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электроэнергией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расширения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мощностей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2014-2024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15000,0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15000,0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электроснабжению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2014-2024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30000,0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30000,0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2014-2024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32000,0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32000,0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газоснабжению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2014-2024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28000,0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28000,0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478740,8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138856,3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98774,7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93609,8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147500,0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447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4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4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454" w:bottom="720" w:left="955" w:header="720" w:footer="720" w:gutter="0"/>
      <w:cols w:space="720" w:equalWidth="0">
        <w:col w:w="1542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09"/>
    <w:multiLevelType w:val="hybridMultilevel"/>
    <w:tmpl w:val="0001162E"/>
    <w:lvl w:ilvl="0" w:tplc="00000A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397"/>
    <w:multiLevelType w:val="hybridMultilevel"/>
    <w:tmpl w:val="00012CB7"/>
    <w:lvl w:ilvl="0" w:tplc="000004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5E6"/>
    <w:multiLevelType w:val="hybridMultilevel"/>
    <w:tmpl w:val="00003758"/>
    <w:lvl w:ilvl="0" w:tplc="000015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CC7"/>
    <w:multiLevelType w:val="hybridMultilevel"/>
    <w:tmpl w:val="000134B6"/>
    <w:lvl w:ilvl="0" w:tplc="000001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FCC"/>
    <w:multiLevelType w:val="hybridMultilevel"/>
    <w:tmpl w:val="00000D4A"/>
    <w:lvl w:ilvl="0" w:tplc="000018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170"/>
    <w:multiLevelType w:val="hybridMultilevel"/>
    <w:tmpl w:val="00013F0A"/>
    <w:lvl w:ilvl="0" w:tplc="000014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718"/>
    <w:multiLevelType w:val="hybridMultilevel"/>
    <w:tmpl w:val="00013D98"/>
    <w:lvl w:ilvl="0" w:tplc="000018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0F1"/>
    <w:multiLevelType w:val="hybridMultilevel"/>
    <w:tmpl w:val="0001798C"/>
    <w:lvl w:ilvl="0" w:tplc="000018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2EB"/>
    <w:multiLevelType w:val="hybridMultilevel"/>
    <w:tmpl w:val="00007B21"/>
    <w:lvl w:ilvl="0" w:tplc="00002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7F3"/>
    <w:multiLevelType w:val="hybridMultilevel"/>
    <w:tmpl w:val="00002D14"/>
    <w:lvl w:ilvl="0" w:tplc="000009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657"/>
    <w:multiLevelType w:val="hybridMultilevel"/>
    <w:tmpl w:val="00011B51"/>
    <w:lvl w:ilvl="0" w:tplc="000026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666"/>
    <w:multiLevelType w:val="hybridMultilevel"/>
    <w:tmpl w:val="000089D2"/>
    <w:lvl w:ilvl="0" w:tplc="00001E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8DA"/>
    <w:multiLevelType w:val="hybridMultilevel"/>
    <w:tmpl w:val="0000CB4D"/>
    <w:lvl w:ilvl="0" w:tplc="00001D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FD6"/>
    <w:multiLevelType w:val="hybridMultilevel"/>
    <w:tmpl w:val="0000926E"/>
    <w:lvl w:ilvl="0" w:tplc="000004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5778"/>
    <w:multiLevelType w:val="hybridMultilevel"/>
    <w:tmpl w:val="0000066B"/>
    <w:lvl w:ilvl="0" w:tplc="000007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8A6"/>
    <w:multiLevelType w:val="hybridMultilevel"/>
    <w:tmpl w:val="0001495F"/>
    <w:lvl w:ilvl="0" w:tplc="000018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D5A"/>
    <w:multiLevelType w:val="hybridMultilevel"/>
    <w:tmpl w:val="000157EA"/>
    <w:lvl w:ilvl="0" w:tplc="000011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EAD"/>
    <w:multiLevelType w:val="hybridMultilevel"/>
    <w:tmpl w:val="000141F1"/>
    <w:lvl w:ilvl="0" w:tplc="000010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6293"/>
    <w:multiLevelType w:val="hybridMultilevel"/>
    <w:tmpl w:val="000032A0"/>
    <w:lvl w:ilvl="0" w:tplc="000017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64A5"/>
    <w:multiLevelType w:val="hybridMultilevel"/>
    <w:tmpl w:val="000006A6"/>
    <w:lvl w:ilvl="0" w:tplc="0000109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17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8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4E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76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A5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6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65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B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6535"/>
    <w:multiLevelType w:val="hybridMultilevel"/>
    <w:tmpl w:val="00003C34"/>
    <w:lvl w:ilvl="0" w:tplc="00000F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68BC"/>
    <w:multiLevelType w:val="hybridMultilevel"/>
    <w:tmpl w:val="0000F83B"/>
    <w:lvl w:ilvl="0" w:tplc="000021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691E"/>
    <w:multiLevelType w:val="hybridMultilevel"/>
    <w:tmpl w:val="000165AF"/>
    <w:lvl w:ilvl="0" w:tplc="000000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6968"/>
    <w:multiLevelType w:val="hybridMultilevel"/>
    <w:tmpl w:val="000057BC"/>
    <w:lvl w:ilvl="0" w:tplc="00000F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6E9E"/>
    <w:multiLevelType w:val="hybridMultilevel"/>
    <w:tmpl w:val="00006716"/>
    <w:lvl w:ilvl="0" w:tplc="000020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7115"/>
    <w:multiLevelType w:val="hybridMultilevel"/>
    <w:tmpl w:val="00002682"/>
    <w:lvl w:ilvl="0" w:tplc="000006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8D5E"/>
    <w:multiLevelType w:val="hybridMultilevel"/>
    <w:tmpl w:val="0000680F"/>
    <w:lvl w:ilvl="0" w:tplc="000007F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C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7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1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F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2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8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A02E"/>
    <w:multiLevelType w:val="hybridMultilevel"/>
    <w:tmpl w:val="00004A63"/>
    <w:lvl w:ilvl="0" w:tplc="000018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AD4B"/>
    <w:multiLevelType w:val="hybridMultilevel"/>
    <w:tmpl w:val="0000B10A"/>
    <w:lvl w:ilvl="0" w:tplc="00000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C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9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8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3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B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D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AD8F"/>
    <w:multiLevelType w:val="hybridMultilevel"/>
    <w:tmpl w:val="00009968"/>
    <w:lvl w:ilvl="0" w:tplc="000021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B61B"/>
    <w:multiLevelType w:val="hybridMultilevel"/>
    <w:tmpl w:val="00001678"/>
    <w:lvl w:ilvl="0" w:tplc="000005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CA9C"/>
    <w:multiLevelType w:val="hybridMultilevel"/>
    <w:tmpl w:val="00001B94"/>
    <w:lvl w:ilvl="0" w:tplc="00000A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D742"/>
    <w:multiLevelType w:val="hybridMultilevel"/>
    <w:tmpl w:val="0000FDA9"/>
    <w:lvl w:ilvl="0" w:tplc="000010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D8F3"/>
    <w:multiLevelType w:val="hybridMultilevel"/>
    <w:tmpl w:val="00014BEE"/>
    <w:lvl w:ilvl="0" w:tplc="00000F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DBBA"/>
    <w:multiLevelType w:val="hybridMultilevel"/>
    <w:tmpl w:val="00005899"/>
    <w:lvl w:ilvl="0" w:tplc="000000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5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DF31"/>
    <w:multiLevelType w:val="hybridMultilevel"/>
    <w:tmpl w:val="00000C40"/>
    <w:lvl w:ilvl="0" w:tplc="000026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E1CA"/>
    <w:multiLevelType w:val="hybridMultilevel"/>
    <w:tmpl w:val="0000D772"/>
    <w:lvl w:ilvl="0" w:tplc="00001E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E227"/>
    <w:multiLevelType w:val="hybridMultilevel"/>
    <w:tmpl w:val="0000891A"/>
    <w:lvl w:ilvl="0" w:tplc="0000050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1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3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ED5B"/>
    <w:multiLevelType w:val="hybridMultilevel"/>
    <w:tmpl w:val="00010A47"/>
    <w:lvl w:ilvl="0" w:tplc="000000A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8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F1D6"/>
    <w:multiLevelType w:val="hybridMultilevel"/>
    <w:tmpl w:val="00000E3D"/>
    <w:lvl w:ilvl="0" w:tplc="000001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F4B8"/>
    <w:multiLevelType w:val="hybridMultilevel"/>
    <w:tmpl w:val="00007471"/>
    <w:lvl w:ilvl="0" w:tplc="000014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F609"/>
    <w:multiLevelType w:val="hybridMultilevel"/>
    <w:tmpl w:val="000132EC"/>
    <w:lvl w:ilvl="0" w:tplc="0000023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0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9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4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6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0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6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5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9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0F61F"/>
    <w:multiLevelType w:val="hybridMultilevel"/>
    <w:tmpl w:val="00004A09"/>
    <w:lvl w:ilvl="0" w:tplc="000003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F922"/>
    <w:multiLevelType w:val="hybridMultilevel"/>
    <w:tmpl w:val="000134EB"/>
    <w:lvl w:ilvl="0" w:tplc="00001A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060D"/>
    <w:multiLevelType w:val="hybridMultilevel"/>
    <w:tmpl w:val="00015668"/>
    <w:lvl w:ilvl="0" w:tplc="000010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06A3"/>
    <w:multiLevelType w:val="hybridMultilevel"/>
    <w:tmpl w:val="0000182C"/>
    <w:lvl w:ilvl="0" w:tplc="000023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099A"/>
    <w:multiLevelType w:val="hybridMultilevel"/>
    <w:tmpl w:val="0001513B"/>
    <w:lvl w:ilvl="0" w:tplc="000002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13D5"/>
    <w:multiLevelType w:val="hybridMultilevel"/>
    <w:tmpl w:val="0000BC5F"/>
    <w:lvl w:ilvl="0" w:tplc="000017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2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9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6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B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A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B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1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7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11ED9"/>
    <w:multiLevelType w:val="hybridMultilevel"/>
    <w:tmpl w:val="0000590C"/>
    <w:lvl w:ilvl="0" w:tplc="000025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2FC7"/>
    <w:multiLevelType w:val="hybridMultilevel"/>
    <w:tmpl w:val="0000C459"/>
    <w:lvl w:ilvl="0" w:tplc="000014D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A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5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B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2FC8"/>
    <w:multiLevelType w:val="hybridMultilevel"/>
    <w:tmpl w:val="0001808E"/>
    <w:lvl w:ilvl="0" w:tplc="0000150E">
      <w:start w:val="10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99C">
      <w:start w:val="1026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DCE">
      <w:start w:val="1026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958">
      <w:start w:val="1026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697">
      <w:start w:val="1026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053">
      <w:start w:val="1026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18B">
      <w:start w:val="1026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544">
      <w:start w:val="1026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727">
      <w:start w:val="1026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141F9"/>
    <w:multiLevelType w:val="hybridMultilevel"/>
    <w:tmpl w:val="000016BF"/>
    <w:lvl w:ilvl="0" w:tplc="000013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518E"/>
    <w:multiLevelType w:val="hybridMultilevel"/>
    <w:tmpl w:val="00015938"/>
    <w:lvl w:ilvl="0" w:tplc="000024A7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2D">
      <w:start w:val="3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7B">
      <w:start w:val="3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27">
      <w:start w:val="3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BC">
      <w:start w:val="3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03">
      <w:start w:val="3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6E">
      <w:start w:val="3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3">
      <w:start w:val="3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66">
      <w:start w:val="3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1562A"/>
    <w:multiLevelType w:val="hybridMultilevel"/>
    <w:tmpl w:val="0000D83B"/>
    <w:lvl w:ilvl="0" w:tplc="00001B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5D02"/>
    <w:multiLevelType w:val="hybridMultilevel"/>
    <w:tmpl w:val="0000DB7A"/>
    <w:lvl w:ilvl="0" w:tplc="000017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5D58"/>
    <w:multiLevelType w:val="hybridMultilevel"/>
    <w:tmpl w:val="0000670D"/>
    <w:lvl w:ilvl="0" w:tplc="00001A7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2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47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1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3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2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B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F8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15F70"/>
    <w:multiLevelType w:val="hybridMultilevel"/>
    <w:tmpl w:val="0000A9EE"/>
    <w:lvl w:ilvl="0" w:tplc="00000C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63FE"/>
    <w:multiLevelType w:val="hybridMultilevel"/>
    <w:tmpl w:val="0000A29B"/>
    <w:lvl w:ilvl="0" w:tplc="000025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794A"/>
    <w:multiLevelType w:val="hybridMultilevel"/>
    <w:tmpl w:val="000169F8"/>
    <w:lvl w:ilvl="0" w:tplc="000018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84D4"/>
    <w:multiLevelType w:val="hybridMultilevel"/>
    <w:tmpl w:val="00003874"/>
    <w:lvl w:ilvl="0" w:tplc="000025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6"/>
  </w:num>
  <w:num w:numId="3">
    <w:abstractNumId w:val="47"/>
  </w:num>
  <w:num w:numId="4">
    <w:abstractNumId w:val="29"/>
  </w:num>
  <w:num w:numId="5">
    <w:abstractNumId w:val="28"/>
  </w:num>
  <w:num w:numId="6">
    <w:abstractNumId w:val="34"/>
  </w:num>
  <w:num w:numId="7">
    <w:abstractNumId w:val="11"/>
  </w:num>
  <w:num w:numId="8">
    <w:abstractNumId w:val="0"/>
  </w:num>
  <w:num w:numId="9">
    <w:abstractNumId w:val="57"/>
  </w:num>
  <w:num w:numId="10">
    <w:abstractNumId w:val="40"/>
  </w:num>
  <w:num w:numId="11">
    <w:abstractNumId w:val="18"/>
  </w:num>
  <w:num w:numId="12">
    <w:abstractNumId w:val="30"/>
  </w:num>
  <w:num w:numId="13">
    <w:abstractNumId w:val="52"/>
  </w:num>
  <w:num w:numId="14">
    <w:abstractNumId w:val="27"/>
  </w:num>
  <w:num w:numId="15">
    <w:abstractNumId w:val="23"/>
  </w:num>
  <w:num w:numId="16">
    <w:abstractNumId w:val="32"/>
  </w:num>
  <w:num w:numId="17">
    <w:abstractNumId w:val="4"/>
  </w:num>
  <w:num w:numId="18">
    <w:abstractNumId w:val="7"/>
  </w:num>
  <w:num w:numId="19">
    <w:abstractNumId w:val="21"/>
  </w:num>
  <w:num w:numId="20">
    <w:abstractNumId w:val="5"/>
  </w:num>
  <w:num w:numId="21">
    <w:abstractNumId w:val="56"/>
  </w:num>
  <w:num w:numId="22">
    <w:abstractNumId w:val="51"/>
  </w:num>
  <w:num w:numId="23">
    <w:abstractNumId w:val="6"/>
  </w:num>
  <w:num w:numId="24">
    <w:abstractNumId w:val="50"/>
  </w:num>
  <w:num w:numId="25">
    <w:abstractNumId w:val="22"/>
  </w:num>
  <w:num w:numId="26">
    <w:abstractNumId w:val="46"/>
  </w:num>
  <w:num w:numId="27">
    <w:abstractNumId w:val="31"/>
  </w:num>
  <w:num w:numId="28">
    <w:abstractNumId w:val="54"/>
  </w:num>
  <w:num w:numId="29">
    <w:abstractNumId w:val="33"/>
  </w:num>
  <w:num w:numId="30">
    <w:abstractNumId w:val="35"/>
  </w:num>
  <w:num w:numId="31">
    <w:abstractNumId w:val="10"/>
  </w:num>
  <w:num w:numId="32">
    <w:abstractNumId w:val="36"/>
  </w:num>
  <w:num w:numId="33">
    <w:abstractNumId w:val="42"/>
  </w:num>
  <w:num w:numId="34">
    <w:abstractNumId w:val="8"/>
  </w:num>
  <w:num w:numId="35">
    <w:abstractNumId w:val="41"/>
  </w:num>
  <w:num w:numId="36">
    <w:abstractNumId w:val="39"/>
  </w:num>
  <w:num w:numId="37">
    <w:abstractNumId w:val="55"/>
  </w:num>
  <w:num w:numId="38">
    <w:abstractNumId w:val="17"/>
  </w:num>
  <w:num w:numId="39">
    <w:abstractNumId w:val="37"/>
  </w:num>
  <w:num w:numId="40">
    <w:abstractNumId w:val="2"/>
  </w:num>
  <w:num w:numId="41">
    <w:abstractNumId w:val="1"/>
  </w:num>
  <w:num w:numId="42">
    <w:abstractNumId w:val="20"/>
  </w:num>
  <w:num w:numId="43">
    <w:abstractNumId w:val="53"/>
  </w:num>
  <w:num w:numId="44">
    <w:abstractNumId w:val="13"/>
  </w:num>
  <w:num w:numId="45">
    <w:abstractNumId w:val="58"/>
  </w:num>
  <w:num w:numId="46">
    <w:abstractNumId w:val="14"/>
  </w:num>
  <w:num w:numId="47">
    <w:abstractNumId w:val="48"/>
  </w:num>
  <w:num w:numId="48">
    <w:abstractNumId w:val="3"/>
  </w:num>
  <w:num w:numId="49">
    <w:abstractNumId w:val="25"/>
  </w:num>
  <w:num w:numId="50">
    <w:abstractNumId w:val="15"/>
  </w:num>
  <w:num w:numId="51">
    <w:abstractNumId w:val="43"/>
  </w:num>
  <w:num w:numId="52">
    <w:abstractNumId w:val="59"/>
  </w:num>
  <w:num w:numId="53">
    <w:abstractNumId w:val="45"/>
  </w:num>
  <w:num w:numId="54">
    <w:abstractNumId w:val="24"/>
  </w:num>
  <w:num w:numId="55">
    <w:abstractNumId w:val="44"/>
  </w:num>
  <w:num w:numId="56">
    <w:abstractNumId w:val="19"/>
  </w:num>
  <w:num w:numId="57">
    <w:abstractNumId w:val="9"/>
  </w:num>
  <w:num w:numId="58">
    <w:abstractNumId w:val="12"/>
  </w:num>
  <w:num w:numId="59">
    <w:abstractNumId w:val="38"/>
  </w:num>
  <w:num w:numId="60">
    <w:abstractNumId w:val="4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4471F"/>
    <w:rsid w:val="00E4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7796</Words>
  <Characters>44441</Characters>
  <Application>Microsoft Office Word</Application>
  <DocSecurity>4</DocSecurity>
  <Lines>370</Lines>
  <Paragraphs>104</Paragraphs>
  <ScaleCrop>false</ScaleCrop>
  <Company/>
  <LinksUpToDate>false</LinksUpToDate>
  <CharactersWithSpaces>52133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2016-03-28T12:32:00Z</dcterms:created>
  <dcterms:modified xsi:type="dcterms:W3CDTF">2016-03-28T12:32:00Z</dcterms:modified>
</cp:coreProperties>
</file>