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77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-613410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0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10"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15" w:lineRule="exact"/>
        <w:ind w:left="2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29.08.2014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819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20" w:lineRule="exact"/>
        <w:ind w:left="262" w:right="11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минимизации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BC56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</w:p>
    <w:p w:rsidR="00000000" w:rsidRDefault="00BC56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4" w:lineRule="exact"/>
        <w:ind w:left="262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25.07.2002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экстремистской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5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5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C5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5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15" w:lineRule="exact"/>
        <w:ind w:left="26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5-00-41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720" w:bottom="660" w:left="1440" w:header="0" w:footer="0" w:gutter="0"/>
          <w:cols w:space="720"/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55" w:lineRule="exact"/>
        <w:ind w:left="604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ind w:left="6040" w:right="11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29.08.2014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819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37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20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ерроризма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BC5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862" w:right="55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минимизации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6" w:right="713" w:bottom="622" w:left="1440" w:header="0" w:footer="0" w:gutter="0"/>
          <w:cols w:space="720"/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13" w:bottom="720" w:left="1440" w:header="720" w:footer="720" w:gutter="0"/>
          <w:cols w:num="5" w:space="720" w:equalWidth="0">
            <w:col w:w="725" w:space="530"/>
            <w:col w:w="3176" w:space="1054"/>
            <w:col w:w="1519" w:space="773"/>
            <w:col w:w="1976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2935"/>
        <w:gridCol w:w="11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13" w:bottom="720" w:left="1440" w:header="720" w:footer="720" w:gutter="0"/>
          <w:cols w:space="720" w:equalWidth="0">
            <w:col w:w="9754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right="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исчер</w:t>
      </w:r>
      <w:r>
        <w:rPr>
          <w:rFonts w:ascii="Times New Roman" w:hAnsi="Times New Roman" w:cs="Times New Roman"/>
          <w:color w:val="000000"/>
          <w:sz w:val="24"/>
          <w:szCs w:val="24"/>
        </w:rPr>
        <w:t>пывающих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упреждающих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попыток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деструктивных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дестабилизировать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77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C56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взрыво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C56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C56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2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96" w:right="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8" w:lineRule="exact"/>
        <w:ind w:left="96" w:right="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940" w:lineRule="exact"/>
        <w:ind w:left="62"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13" w:bottom="720" w:left="1440" w:header="720" w:footer="720" w:gutter="0"/>
          <w:cols w:num="5" w:space="720" w:equalWidth="0">
            <w:col w:w="665" w:space="271"/>
            <w:col w:w="3815" w:space="514"/>
            <w:col w:w="1964" w:space="718"/>
            <w:col w:w="1640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4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транспортировку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3" w:right="720" w:bottom="660" w:left="1440" w:header="0" w:footer="0" w:gutter="0"/>
          <w:cols w:space="720"/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6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гидротехнических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3" w:space="720" w:equalWidth="0">
            <w:col w:w="1784" w:space="1030"/>
            <w:col w:w="1936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49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тяжелым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C56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936" w:right="496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диверсии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C56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exact"/>
        <w:ind w:left="485" w:right="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485" w:right="3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936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485" w:right="-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7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24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811" w:space="127"/>
            <w:col w:w="2614" w:space="403"/>
            <w:col w:w="1620" w:space="0"/>
            <w:col w:w="-1"/>
          </w:cols>
          <w:noEndnote/>
        </w:sectPr>
      </w:pPr>
    </w:p>
    <w:p w:rsidR="00000000" w:rsidRDefault="00BC5623">
      <w:pPr>
        <w:widowControl w:val="0"/>
        <w:tabs>
          <w:tab w:val="left" w:pos="4947"/>
        </w:tabs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7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5" w:space="720" w:equalWidth="0">
            <w:col w:w="1856" w:space="740"/>
            <w:col w:w="1243" w:space="739"/>
            <w:col w:w="173" w:space="670"/>
            <w:col w:w="1650" w:space="0"/>
            <w:col w:w="-1"/>
          </w:cols>
          <w:noEndnote/>
        </w:sectPr>
      </w:pP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3293"/>
        <w:gridCol w:w="11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C5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5" w:lineRule="exact"/>
        <w:ind w:left="48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748" w:space="613"/>
            <w:col w:w="1771" w:space="1069"/>
            <w:col w:w="1128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23" w:right="68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0" w:lineRule="exact"/>
        <w:ind w:left="48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936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чердачных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ЖКХ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85" w:bottom="720" w:left="1440" w:header="720" w:footer="720" w:gutter="0"/>
          <w:cols w:num="4" w:space="720" w:equalWidth="0">
            <w:col w:w="4748" w:space="174"/>
            <w:col w:w="2647" w:space="632"/>
            <w:col w:w="1128" w:space="0"/>
            <w:col w:w="-1"/>
          </w:cols>
          <w:noEndnote/>
        </w:sect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8"/>
        <w:gridCol w:w="1498"/>
        <w:gridCol w:w="56"/>
        <w:gridCol w:w="2840"/>
        <w:gridCol w:w="235"/>
        <w:gridCol w:w="1568"/>
        <w:gridCol w:w="2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ужесточении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ывчатых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ОГИБДД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3" w:type="dxa"/>
          <w:trHeight w:hRule="exact" w:val="28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3" w:type="dxa"/>
          <w:trHeight w:hRule="exact" w:val="38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56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85" w:bottom="720" w:left="1440" w:header="720" w:footer="720" w:gutter="0"/>
          <w:cols w:space="720" w:equalWidth="0">
            <w:col w:w="978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869"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C56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869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C56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3" w:lineRule="exact"/>
        <w:ind w:left="869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«14 </w:t>
      </w:r>
      <w:r>
        <w:rPr>
          <w:rFonts w:ascii="Times New Roman" w:hAnsi="Times New Roman" w:cs="Times New Roman"/>
          <w:color w:val="000000"/>
          <w:sz w:val="24"/>
          <w:szCs w:val="24"/>
        </w:rPr>
        <w:t>отряд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ФПС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456" w:right="4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85" w:bottom="720" w:left="1440" w:header="720" w:footer="720" w:gutter="0"/>
          <w:cols w:num="3" w:space="720" w:equalWidth="0">
            <w:col w:w="4817" w:space="56"/>
            <w:col w:w="2739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27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423"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55" w:after="0" w:line="270" w:lineRule="exact"/>
        <w:ind w:left="423"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55" w:after="0" w:line="270" w:lineRule="exact"/>
        <w:ind w:left="425"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C56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936" w:right="3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дискуссия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60" w:lineRule="exact"/>
        <w:ind w:left="115" w:righ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2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817" w:space="90"/>
            <w:col w:w="2677" w:space="362"/>
            <w:col w:w="1640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370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563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5" w:lineRule="exact"/>
        <w:ind w:left="936" w:right="-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идеологии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80" w:lineRule="exact"/>
        <w:ind w:left="370" w:right="-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78" w:lineRule="exact"/>
        <w:ind w:left="370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гармонизации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межэтнических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3" w:lineRule="exact"/>
        <w:ind w:left="98" w:right="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1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115" w:right="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9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751" w:space="156"/>
            <w:col w:w="2739" w:space="329"/>
            <w:col w:w="1582" w:space="0"/>
            <w:col w:w="-1"/>
          </w:cols>
          <w:noEndnote/>
        </w:sectPr>
      </w:pPr>
    </w:p>
    <w:p w:rsidR="00000000" w:rsidRDefault="00BC5623">
      <w:pPr>
        <w:widowControl w:val="0"/>
        <w:tabs>
          <w:tab w:val="left" w:pos="4976"/>
          <w:tab w:val="left" w:pos="8015"/>
        </w:tabs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2076" w:space="1004"/>
            <w:col w:w="1669" w:space="671"/>
            <w:col w:w="1650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чтобы…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3" w:space="720" w:equalWidth="0">
            <w:col w:w="4750" w:space="222"/>
            <w:col w:w="2547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3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толерантности…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1241" w:right="4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</w:t>
      </w:r>
      <w:r>
        <w:rPr>
          <w:rFonts w:ascii="Times New Roman" w:hAnsi="Times New Roman" w:cs="Times New Roman"/>
          <w:color w:val="000000"/>
          <w:sz w:val="24"/>
          <w:szCs w:val="24"/>
        </w:rPr>
        <w:t>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»; «</w:t>
      </w:r>
      <w:r>
        <w:rPr>
          <w:rFonts w:ascii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правонарушения…</w:t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3" w:right="720" w:bottom="660" w:left="1440" w:header="0" w:footer="0" w:gutter="0"/>
          <w:cols w:space="720"/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425"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</w:t>
      </w:r>
      <w:r>
        <w:rPr>
          <w:rFonts w:ascii="Times New Roman" w:hAnsi="Times New Roman" w:cs="Times New Roman"/>
          <w:color w:val="000000"/>
          <w:sz w:val="24"/>
          <w:szCs w:val="24"/>
        </w:rPr>
        <w:t>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7" w:lineRule="exact"/>
        <w:ind w:left="425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0" w:lineRule="exact"/>
        <w:ind w:left="425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настроений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8" w:lineRule="exact"/>
        <w:ind w:left="425" w:right="-2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76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29" w:right="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5" w:lineRule="exact"/>
        <w:ind w:left="115" w:right="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8" w:lineRule="exact"/>
        <w:ind w:left="0" w:right="-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1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80" w:lineRule="exact"/>
        <w:ind w:left="115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22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3" w:lineRule="exact"/>
        <w:ind w:left="84" w:right="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1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840" w:lineRule="exact"/>
        <w:ind w:left="362" w:right="3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1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5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751" w:space="156"/>
            <w:col w:w="2703" w:space="226"/>
            <w:col w:w="1858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4909" w:right="2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3" w:right="720" w:bottom="660" w:left="1440" w:header="0" w:footer="0" w:gutter="0"/>
          <w:cols w:space="720"/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425" w:right="3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hAnsi="Times New Roman" w:cs="Times New Roman"/>
          <w:color w:val="000000"/>
          <w:sz w:val="24"/>
          <w:szCs w:val="24"/>
        </w:rPr>
        <w:t>вольной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боеприпасов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незаконно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80" w:lineRule="exact"/>
        <w:ind w:left="425" w:right="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73" w:lineRule="exact"/>
        <w:ind w:left="425"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межличностных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80" w:lineRule="exact"/>
        <w:ind w:left="425"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425"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>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дискуссионного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5" w:lineRule="exact"/>
        <w:ind w:left="936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темам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Будьте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бдительны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115" w:righ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ГБПОУ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политехнический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115" w:righ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390" w:lineRule="exact"/>
        <w:ind w:left="545" w:right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1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4811" w:space="96"/>
            <w:col w:w="2677" w:space="252"/>
            <w:col w:w="1858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>»,  «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попавший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заложники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5" w:space="720" w:equalWidth="0">
            <w:col w:w="725" w:space="211"/>
            <w:col w:w="3813" w:space="357"/>
            <w:col w:w="2276" w:space="453"/>
            <w:col w:w="1858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23" w:right="602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02" w:bottom="720" w:left="1440" w:header="720" w:footer="720" w:gutter="0"/>
          <w:cols w:num="5" w:space="720" w:equalWidth="0">
            <w:col w:w="725" w:space="211"/>
            <w:col w:w="3812" w:space="358"/>
            <w:col w:w="2276" w:space="815"/>
            <w:col w:w="1135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80" w:lineRule="exact"/>
        <w:ind w:left="425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межэтнических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before="235" w:after="0" w:line="270" w:lineRule="exact"/>
        <w:ind w:left="425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5623">
      <w:pPr>
        <w:widowControl w:val="0"/>
        <w:autoSpaceDE w:val="0"/>
        <w:autoSpaceDN w:val="0"/>
        <w:adjustRightInd w:val="0"/>
        <w:spacing w:before="255" w:after="0" w:line="270" w:lineRule="exact"/>
        <w:ind w:left="425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пропагандистское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6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75" w:lineRule="exact"/>
        <w:ind w:left="24" w:right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C562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5" w:lineRule="exact"/>
        <w:ind w:left="24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02" w:bottom="720" w:left="1440" w:header="720" w:footer="720" w:gutter="0"/>
          <w:cols w:num="4" w:space="720" w:equalWidth="0">
            <w:col w:w="4751" w:space="185"/>
            <w:col w:w="2643" w:space="240"/>
            <w:col w:w="1894" w:space="0"/>
            <w:col w:w="-1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02" w:bottom="720" w:left="1440" w:header="720" w:footer="720" w:gutter="0"/>
          <w:cols w:space="720" w:equalWidth="0">
            <w:col w:w="9865"/>
          </w:cols>
          <w:noEndnote/>
        </w:sectPr>
      </w:pP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602" w:bottom="720" w:left="1440" w:header="720" w:footer="720" w:gutter="0"/>
      <w:cols w:num="3" w:space="720" w:equalWidth="0">
        <w:col w:w="4187" w:space="3591"/>
        <w:col w:w="208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B"/>
    <w:multiLevelType w:val="hybridMultilevel"/>
    <w:tmpl w:val="00008CAC"/>
    <w:lvl w:ilvl="0" w:tplc="00000D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987"/>
    <w:multiLevelType w:val="hybridMultilevel"/>
    <w:tmpl w:val="00003C43"/>
    <w:lvl w:ilvl="0" w:tplc="000023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CEC"/>
    <w:multiLevelType w:val="hybridMultilevel"/>
    <w:tmpl w:val="00017CC4"/>
    <w:lvl w:ilvl="0" w:tplc="00000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7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E97"/>
    <w:multiLevelType w:val="hybridMultilevel"/>
    <w:tmpl w:val="0000C6E1"/>
    <w:lvl w:ilvl="0" w:tplc="000003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2D8"/>
    <w:multiLevelType w:val="hybridMultilevel"/>
    <w:tmpl w:val="00015A11"/>
    <w:lvl w:ilvl="0" w:tplc="0000224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30A"/>
    <w:multiLevelType w:val="hybridMultilevel"/>
    <w:tmpl w:val="0000ADE8"/>
    <w:lvl w:ilvl="0" w:tplc="0000214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581"/>
    <w:multiLevelType w:val="hybridMultilevel"/>
    <w:tmpl w:val="0000AC10"/>
    <w:lvl w:ilvl="0" w:tplc="000007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0EB"/>
    <w:multiLevelType w:val="hybridMultilevel"/>
    <w:tmpl w:val="0001250D"/>
    <w:lvl w:ilvl="0" w:tplc="0000144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6DD"/>
    <w:multiLevelType w:val="hybridMultilevel"/>
    <w:tmpl w:val="000153EC"/>
    <w:lvl w:ilvl="0" w:tplc="000018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811"/>
    <w:multiLevelType w:val="hybridMultilevel"/>
    <w:tmpl w:val="00008306"/>
    <w:lvl w:ilvl="0" w:tplc="00000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948"/>
    <w:multiLevelType w:val="hybridMultilevel"/>
    <w:tmpl w:val="0001431A"/>
    <w:lvl w:ilvl="0" w:tplc="00001E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025"/>
    <w:multiLevelType w:val="hybridMultilevel"/>
    <w:tmpl w:val="00014F90"/>
    <w:lvl w:ilvl="0" w:tplc="000020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81C"/>
    <w:multiLevelType w:val="hybridMultilevel"/>
    <w:tmpl w:val="0001758E"/>
    <w:lvl w:ilvl="0" w:tplc="00000B1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A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B21"/>
    <w:multiLevelType w:val="hybridMultilevel"/>
    <w:tmpl w:val="0000C899"/>
    <w:lvl w:ilvl="0" w:tplc="00001E9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BF3"/>
    <w:multiLevelType w:val="hybridMultilevel"/>
    <w:tmpl w:val="000020AF"/>
    <w:lvl w:ilvl="0" w:tplc="000008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2A5"/>
    <w:multiLevelType w:val="hybridMultilevel"/>
    <w:tmpl w:val="0001733C"/>
    <w:lvl w:ilvl="0" w:tplc="00000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CF0"/>
    <w:multiLevelType w:val="hybridMultilevel"/>
    <w:tmpl w:val="000077F5"/>
    <w:lvl w:ilvl="0" w:tplc="000017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D75"/>
    <w:multiLevelType w:val="hybridMultilevel"/>
    <w:tmpl w:val="00004FB8"/>
    <w:lvl w:ilvl="0" w:tplc="00001E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E74"/>
    <w:multiLevelType w:val="hybridMultilevel"/>
    <w:tmpl w:val="0000ECE9"/>
    <w:lvl w:ilvl="0" w:tplc="00001A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12D"/>
    <w:multiLevelType w:val="hybridMultilevel"/>
    <w:tmpl w:val="00008B13"/>
    <w:lvl w:ilvl="0" w:tplc="000013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31E"/>
    <w:multiLevelType w:val="hybridMultilevel"/>
    <w:tmpl w:val="00000F8A"/>
    <w:lvl w:ilvl="0" w:tplc="000021F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559"/>
    <w:multiLevelType w:val="hybridMultilevel"/>
    <w:tmpl w:val="0000FAFD"/>
    <w:lvl w:ilvl="0" w:tplc="00000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D32F"/>
    <w:multiLevelType w:val="hybridMultilevel"/>
    <w:tmpl w:val="00016DEA"/>
    <w:lvl w:ilvl="0" w:tplc="0000137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0068"/>
    <w:multiLevelType w:val="hybridMultilevel"/>
    <w:tmpl w:val="0000BF36"/>
    <w:lvl w:ilvl="0" w:tplc="000007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0B16"/>
    <w:multiLevelType w:val="hybridMultilevel"/>
    <w:tmpl w:val="0000ED99"/>
    <w:lvl w:ilvl="0" w:tplc="00001D1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5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DB0"/>
    <w:multiLevelType w:val="hybridMultilevel"/>
    <w:tmpl w:val="00015F37"/>
    <w:lvl w:ilvl="0" w:tplc="000004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DCA"/>
    <w:multiLevelType w:val="hybridMultilevel"/>
    <w:tmpl w:val="00010DAA"/>
    <w:lvl w:ilvl="0" w:tplc="000006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8C5"/>
    <w:multiLevelType w:val="hybridMultilevel"/>
    <w:tmpl w:val="0000A18A"/>
    <w:lvl w:ilvl="0" w:tplc="0000154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3F5C"/>
    <w:multiLevelType w:val="hybridMultilevel"/>
    <w:tmpl w:val="000164F8"/>
    <w:lvl w:ilvl="0" w:tplc="00001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00F"/>
    <w:multiLevelType w:val="hybridMultilevel"/>
    <w:tmpl w:val="00011FAB"/>
    <w:lvl w:ilvl="0" w:tplc="00000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4196"/>
    <w:multiLevelType w:val="hybridMultilevel"/>
    <w:tmpl w:val="0001587B"/>
    <w:lvl w:ilvl="0" w:tplc="00000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43AF"/>
    <w:multiLevelType w:val="hybridMultilevel"/>
    <w:tmpl w:val="0000F266"/>
    <w:lvl w:ilvl="0" w:tplc="000010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4FDC"/>
    <w:multiLevelType w:val="hybridMultilevel"/>
    <w:tmpl w:val="0000B60B"/>
    <w:lvl w:ilvl="0" w:tplc="00001A0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139"/>
    <w:multiLevelType w:val="hybridMultilevel"/>
    <w:tmpl w:val="0000D966"/>
    <w:lvl w:ilvl="0" w:tplc="000018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5D23"/>
    <w:multiLevelType w:val="hybridMultilevel"/>
    <w:tmpl w:val="0000FD09"/>
    <w:lvl w:ilvl="0" w:tplc="00000F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EF7"/>
    <w:multiLevelType w:val="hybridMultilevel"/>
    <w:tmpl w:val="00014DEC"/>
    <w:lvl w:ilvl="0" w:tplc="000020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AAD"/>
    <w:multiLevelType w:val="hybridMultilevel"/>
    <w:tmpl w:val="0000E40A"/>
    <w:lvl w:ilvl="0" w:tplc="000017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478"/>
    <w:multiLevelType w:val="hybridMultilevel"/>
    <w:tmpl w:val="00006999"/>
    <w:lvl w:ilvl="0" w:tplc="000020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75E5"/>
    <w:multiLevelType w:val="hybridMultilevel"/>
    <w:tmpl w:val="00014CF9"/>
    <w:lvl w:ilvl="0" w:tplc="000024C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29"/>
  </w:num>
  <w:num w:numId="8">
    <w:abstractNumId w:val="7"/>
  </w:num>
  <w:num w:numId="9">
    <w:abstractNumId w:val="27"/>
  </w:num>
  <w:num w:numId="10">
    <w:abstractNumId w:val="13"/>
  </w:num>
  <w:num w:numId="11">
    <w:abstractNumId w:val="24"/>
  </w:num>
  <w:num w:numId="12">
    <w:abstractNumId w:val="4"/>
  </w:num>
  <w:num w:numId="13">
    <w:abstractNumId w:val="17"/>
  </w:num>
  <w:num w:numId="14">
    <w:abstractNumId w:val="28"/>
  </w:num>
  <w:num w:numId="15">
    <w:abstractNumId w:val="30"/>
  </w:num>
  <w:num w:numId="16">
    <w:abstractNumId w:val="35"/>
  </w:num>
  <w:num w:numId="17">
    <w:abstractNumId w:val="31"/>
  </w:num>
  <w:num w:numId="18">
    <w:abstractNumId w:val="10"/>
  </w:num>
  <w:num w:numId="19">
    <w:abstractNumId w:val="6"/>
  </w:num>
  <w:num w:numId="20">
    <w:abstractNumId w:val="34"/>
  </w:num>
  <w:num w:numId="21">
    <w:abstractNumId w:val="8"/>
  </w:num>
  <w:num w:numId="22">
    <w:abstractNumId w:val="25"/>
  </w:num>
  <w:num w:numId="23">
    <w:abstractNumId w:val="32"/>
  </w:num>
  <w:num w:numId="24">
    <w:abstractNumId w:val="18"/>
  </w:num>
  <w:num w:numId="25">
    <w:abstractNumId w:val="19"/>
  </w:num>
  <w:num w:numId="26">
    <w:abstractNumId w:val="26"/>
  </w:num>
  <w:num w:numId="27">
    <w:abstractNumId w:val="20"/>
  </w:num>
  <w:num w:numId="28">
    <w:abstractNumId w:val="22"/>
  </w:num>
  <w:num w:numId="29">
    <w:abstractNumId w:val="11"/>
  </w:num>
  <w:num w:numId="30">
    <w:abstractNumId w:val="38"/>
  </w:num>
  <w:num w:numId="31">
    <w:abstractNumId w:val="33"/>
  </w:num>
  <w:num w:numId="32">
    <w:abstractNumId w:val="14"/>
  </w:num>
  <w:num w:numId="33">
    <w:abstractNumId w:val="3"/>
  </w:num>
  <w:num w:numId="34">
    <w:abstractNumId w:val="36"/>
  </w:num>
  <w:num w:numId="35">
    <w:abstractNumId w:val="5"/>
  </w:num>
  <w:num w:numId="36">
    <w:abstractNumId w:val="1"/>
  </w:num>
  <w:num w:numId="37">
    <w:abstractNumId w:val="21"/>
  </w:num>
  <w:num w:numId="38">
    <w:abstractNumId w:val="23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C5623"/>
    <w:rsid w:val="00B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2323</Words>
  <Characters>13246</Characters>
  <Application>Microsoft Office Word</Application>
  <DocSecurity>4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