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110B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-782320</wp:posOffset>
            </wp:positionV>
            <wp:extent cx="542290" cy="7131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1748" w:right="1458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26110B">
      <w:pPr>
        <w:widowControl w:val="0"/>
        <w:tabs>
          <w:tab w:val="left" w:pos="7359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before="35" w:after="0" w:line="345" w:lineRule="exact"/>
        <w:ind w:left="255" w:right="-30"/>
        <w:rPr>
          <w:rFonts w:ascii="Calibri" w:hAnsi="Calibri" w:cs="Times New Roman"/>
          <w:color w:val="000000"/>
          <w:sz w:val="28"/>
          <w:szCs w:val="24"/>
        </w:rPr>
      </w:pPr>
      <w:r>
        <w:rPr>
          <w:rFonts w:ascii="Calibri" w:hAnsi="Calibri" w:cs="Times New Roman"/>
          <w:color w:val="000000"/>
          <w:sz w:val="28"/>
          <w:szCs w:val="24"/>
        </w:rPr>
        <w:t>от</w:t>
      </w:r>
      <w:r>
        <w:rPr>
          <w:rFonts w:ascii="Calibri" w:hAnsi="Calibri" w:cs="Times New Roman"/>
          <w:color w:val="000000"/>
          <w:sz w:val="28"/>
          <w:szCs w:val="24"/>
        </w:rPr>
        <w:t xml:space="preserve">        10.07.2014      </w:t>
      </w:r>
      <w:r>
        <w:rPr>
          <w:rFonts w:ascii="Calibri" w:hAnsi="Calibri" w:cs="Times New Roman"/>
          <w:color w:val="000000"/>
          <w:sz w:val="28"/>
          <w:szCs w:val="24"/>
        </w:rPr>
        <w:t>№</w:t>
      </w:r>
      <w:r>
        <w:rPr>
          <w:rFonts w:ascii="Calibri" w:hAnsi="Calibri" w:cs="Times New Roman"/>
          <w:color w:val="000000"/>
          <w:sz w:val="28"/>
          <w:szCs w:val="24"/>
        </w:rPr>
        <w:t xml:space="preserve">    701   </w:t>
      </w:r>
    </w:p>
    <w:p w:rsidR="00000000" w:rsidRDefault="0026110B">
      <w:pPr>
        <w:widowControl w:val="0"/>
        <w:autoSpaceDE w:val="0"/>
        <w:autoSpaceDN w:val="0"/>
        <w:adjustRightInd w:val="0"/>
        <w:spacing w:before="75" w:after="0" w:line="225" w:lineRule="exact"/>
        <w:ind w:left="502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before="1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188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внутреннему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финансовому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before="285" w:after="0" w:line="322" w:lineRule="exact"/>
        <w:ind w:left="262" w:right="5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269.2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30.12.2011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116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</w:t>
      </w:r>
      <w:r>
        <w:rPr>
          <w:rFonts w:ascii="Times New Roman" w:hAnsi="Times New Roman" w:cs="Times New Roman"/>
          <w:color w:val="000000"/>
          <w:sz w:val="28"/>
          <w:szCs w:val="24"/>
        </w:rPr>
        <w:t>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2.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Иванова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2611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5" w:lineRule="exact"/>
        <w:ind w:left="262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04 51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26" w:right="406" w:bottom="660" w:left="1440" w:header="0" w:footer="0" w:gutter="0"/>
          <w:cols w:space="720"/>
          <w:noEndnote/>
        </w:sectPr>
      </w:pPr>
    </w:p>
    <w:p w:rsidR="00000000" w:rsidRDefault="0026110B">
      <w:pPr>
        <w:widowControl w:val="0"/>
        <w:autoSpaceDE w:val="0"/>
        <w:autoSpaceDN w:val="0"/>
        <w:adjustRightInd w:val="0"/>
        <w:spacing w:after="0" w:line="270" w:lineRule="exact"/>
        <w:ind w:left="5365" w:right="13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85" w:lineRule="exact"/>
        <w:ind w:left="536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10.07.2014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701 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30" w:lineRule="exact"/>
        <w:ind w:left="452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30" w:lineRule="exact"/>
        <w:ind w:left="548" w:right="25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внутреннему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финансовому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11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376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6110B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</w:t>
      </w:r>
      <w:r>
        <w:rPr>
          <w:rFonts w:ascii="Times New Roman" w:hAnsi="Times New Roman" w:cs="Times New Roman"/>
          <w:color w:val="000000"/>
          <w:sz w:val="28"/>
          <w:szCs w:val="24"/>
        </w:rPr>
        <w:t>треннему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</w:t>
      </w:r>
      <w:r>
        <w:rPr>
          <w:rFonts w:ascii="Times New Roman" w:hAnsi="Times New Roman" w:cs="Times New Roman"/>
          <w:color w:val="000000"/>
          <w:sz w:val="28"/>
          <w:szCs w:val="24"/>
        </w:rPr>
        <w:t>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4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1.3.1.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611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11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611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</w:t>
      </w:r>
      <w:r>
        <w:rPr>
          <w:rFonts w:ascii="Times New Roman" w:hAnsi="Times New Roman" w:cs="Times New Roman"/>
          <w:color w:val="000000"/>
          <w:sz w:val="28"/>
          <w:szCs w:val="24"/>
        </w:rPr>
        <w:t>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дефицита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11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611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</w:p>
    <w:p w:rsidR="00000000" w:rsidRDefault="002611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494" w:bottom="660" w:left="1440" w:header="0" w:footer="0" w:gutter="0"/>
          <w:cols w:space="720"/>
          <w:noEndnote/>
        </w:sectPr>
      </w:pP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ревизия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5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1.5.2.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камеральные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встречные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Камера</w:t>
      </w:r>
      <w:r>
        <w:rPr>
          <w:rFonts w:ascii="Times New Roman" w:hAnsi="Times New Roman" w:cs="Times New Roman"/>
          <w:color w:val="000000"/>
          <w:sz w:val="28"/>
          <w:szCs w:val="24"/>
        </w:rPr>
        <w:t>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7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Выездными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верками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Встреч</w:t>
      </w:r>
      <w:r>
        <w:rPr>
          <w:rFonts w:ascii="Times New Roman" w:hAnsi="Times New Roman" w:cs="Times New Roman"/>
          <w:color w:val="000000"/>
          <w:sz w:val="28"/>
          <w:szCs w:val="24"/>
        </w:rPr>
        <w:t>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камеральных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3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1.5.4.  </w:t>
      </w:r>
      <w:r>
        <w:rPr>
          <w:rFonts w:ascii="Times New Roman" w:hAnsi="Times New Roman" w:cs="Times New Roman"/>
          <w:color w:val="000000"/>
          <w:sz w:val="28"/>
          <w:szCs w:val="24"/>
        </w:rPr>
        <w:t>Ревизией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выражается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Ревизия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1.5.5.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ревизии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1.5.6.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1.5.7.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1.6.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6110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110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26110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</w:t>
      </w:r>
      <w:r>
        <w:rPr>
          <w:rFonts w:ascii="Times New Roman" w:hAnsi="Times New Roman" w:cs="Times New Roman"/>
          <w:color w:val="000000"/>
          <w:sz w:val="28"/>
          <w:szCs w:val="24"/>
        </w:rPr>
        <w:t>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5" w:bottom="660" w:left="1440" w:header="0" w:footer="0" w:gutter="0"/>
          <w:cols w:space="720"/>
          <w:noEndnote/>
        </w:sectPr>
      </w:pPr>
    </w:p>
    <w:p w:rsidR="00000000" w:rsidRDefault="002611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45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рев</w:t>
      </w:r>
      <w:r>
        <w:rPr>
          <w:rFonts w:ascii="Times New Roman" w:hAnsi="Times New Roman" w:cs="Times New Roman"/>
          <w:color w:val="000000"/>
          <w:sz w:val="28"/>
          <w:szCs w:val="24"/>
        </w:rPr>
        <w:t>изионной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6110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70" w:after="0" w:line="330" w:lineRule="exact"/>
        <w:ind w:left="100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before="285" w:after="0" w:line="320" w:lineRule="exact"/>
        <w:ind w:left="970" w:right="45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2.2.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11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262" w:right="45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</w:t>
      </w:r>
    </w:p>
    <w:p w:rsidR="00000000" w:rsidRDefault="0026110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7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3" w:lineRule="exact"/>
        <w:ind w:left="262" w:right="7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прокурорского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реагирования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7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2.5.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6110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7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</w:t>
      </w:r>
      <w:r>
        <w:rPr>
          <w:rFonts w:ascii="Times New Roman" w:hAnsi="Times New Roman" w:cs="Times New Roman"/>
          <w:color w:val="000000"/>
          <w:sz w:val="28"/>
          <w:szCs w:val="24"/>
        </w:rPr>
        <w:t>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110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2" w:lineRule="exact"/>
        <w:ind w:left="262" w:right="7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>. 2.5.1.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проверяе</w:t>
      </w:r>
      <w:r>
        <w:rPr>
          <w:rFonts w:ascii="Times New Roman" w:hAnsi="Times New Roman" w:cs="Times New Roman"/>
          <w:color w:val="000000"/>
          <w:sz w:val="28"/>
          <w:szCs w:val="24"/>
        </w:rPr>
        <w:t>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камеральной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7" w:lineRule="exact"/>
        <w:ind w:left="262" w:right="7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2.5.2.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7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2.5.3.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первый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руководителю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ъекта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73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камеральная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7" w:bottom="660" w:left="1440" w:header="0" w:footer="0" w:gutter="0"/>
          <w:cols w:space="720"/>
          <w:noEndnote/>
        </w:sectPr>
      </w:pP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45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45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2.6.1.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камеральной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7" w:lineRule="exact"/>
        <w:ind w:left="262" w:right="45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2.6.2.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камеральной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следнего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камеральной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45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2.7.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ревизия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46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выездной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ревизии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40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4" w:lineRule="exact"/>
        <w:ind w:left="262" w:right="45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2.7.2.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ревизии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45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2.7.3.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ревизии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(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ревизии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5" w:lineRule="exact"/>
        <w:ind w:left="262" w:right="45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Контрольное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мероприятие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встречн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камеральной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8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2.8.1.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встречной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20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12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2.8.2.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встречной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встречной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30" w:lineRule="exact"/>
        <w:ind w:left="262" w:right="12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Контрольное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мероприятие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обследование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12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2.9.1.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12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2.9.2.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</w:t>
      </w:r>
      <w:r>
        <w:rPr>
          <w:rFonts w:ascii="Times New Roman" w:hAnsi="Times New Roman" w:cs="Times New Roman"/>
          <w:color w:val="000000"/>
          <w:sz w:val="28"/>
          <w:szCs w:val="24"/>
        </w:rPr>
        <w:t>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7" w:bottom="660" w:left="1440" w:header="0" w:footer="0" w:gutter="0"/>
          <w:cols w:space="720"/>
          <w:noEndnote/>
        </w:sectPr>
      </w:pP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2.10.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специализированных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приостановлено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26110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26110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неудовлетворительного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110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-33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26110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воспрепятствования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11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встречной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611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611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2.11.1.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приостановлении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3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2.11.2.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611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риостановлении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11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7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</w:t>
      </w:r>
      <w:r>
        <w:rPr>
          <w:rFonts w:ascii="Times New Roman" w:hAnsi="Times New Roman" w:cs="Times New Roman"/>
          <w:color w:val="000000"/>
          <w:sz w:val="28"/>
          <w:szCs w:val="24"/>
        </w:rPr>
        <w:t>иваемых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2.11.3.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Контрольное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мероприятие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возобновляется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</w:t>
      </w:r>
      <w:r>
        <w:rPr>
          <w:rFonts w:ascii="Times New Roman" w:hAnsi="Times New Roman" w:cs="Times New Roman"/>
          <w:color w:val="000000"/>
          <w:sz w:val="28"/>
          <w:szCs w:val="24"/>
        </w:rPr>
        <w:t>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возобновлении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2.12.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611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объяснения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11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ревизий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беспрепятственно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2.12.1.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2.12.2.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3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2.12.3.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мат</w:t>
      </w:r>
      <w:r>
        <w:rPr>
          <w:rFonts w:ascii="Times New Roman" w:hAnsi="Times New Roman" w:cs="Times New Roman"/>
          <w:color w:val="000000"/>
          <w:sz w:val="28"/>
          <w:szCs w:val="24"/>
        </w:rPr>
        <w:t>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подлиннике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6110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110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</w:p>
    <w:p w:rsidR="00000000" w:rsidRDefault="0026110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6110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излагать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объяснениями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110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</w:t>
      </w:r>
      <w:r>
        <w:rPr>
          <w:rFonts w:ascii="Times New Roman" w:hAnsi="Times New Roman" w:cs="Times New Roman"/>
          <w:color w:val="000000"/>
          <w:sz w:val="28"/>
          <w:szCs w:val="24"/>
        </w:rPr>
        <w:t>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лаконичность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110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пояснений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бъяснений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110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5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докладывать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>медленного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реагирования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истребованных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пояснений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объяснений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110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2.13.1.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ненадлежащего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противоправных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2.14.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6110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</w:t>
      </w:r>
      <w:r>
        <w:rPr>
          <w:rFonts w:ascii="Times New Roman" w:hAnsi="Times New Roman" w:cs="Times New Roman"/>
          <w:color w:val="000000"/>
          <w:sz w:val="28"/>
          <w:szCs w:val="24"/>
        </w:rPr>
        <w:t>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110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объяснений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</w:t>
      </w:r>
      <w:r>
        <w:rPr>
          <w:rFonts w:ascii="Times New Roman" w:hAnsi="Times New Roman" w:cs="Times New Roman"/>
          <w:color w:val="000000"/>
          <w:sz w:val="28"/>
          <w:szCs w:val="24"/>
        </w:rPr>
        <w:t>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94" w:bottom="660" w:left="1440" w:header="0" w:footer="0" w:gutter="0"/>
          <w:cols w:space="720"/>
          <w:noEndnote/>
        </w:sectPr>
      </w:pPr>
    </w:p>
    <w:p w:rsidR="00000000" w:rsidRDefault="0026110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оргтехникой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110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30" w:lineRule="exact"/>
        <w:ind w:left="97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оформления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</w:t>
      </w:r>
      <w:r>
        <w:rPr>
          <w:rFonts w:ascii="Times New Roman" w:hAnsi="Times New Roman" w:cs="Times New Roman"/>
          <w:color w:val="000000"/>
          <w:sz w:val="28"/>
          <w:szCs w:val="24"/>
        </w:rPr>
        <w:t>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3.1.1.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</w:t>
      </w:r>
      <w:r>
        <w:rPr>
          <w:rFonts w:ascii="Times New Roman" w:hAnsi="Times New Roman" w:cs="Times New Roman"/>
          <w:color w:val="000000"/>
          <w:sz w:val="28"/>
          <w:szCs w:val="24"/>
        </w:rPr>
        <w:t>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6110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6110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6110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26110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</w:t>
      </w:r>
      <w:r>
        <w:rPr>
          <w:rFonts w:ascii="Times New Roman" w:hAnsi="Times New Roman" w:cs="Times New Roman"/>
          <w:color w:val="000000"/>
          <w:sz w:val="28"/>
          <w:szCs w:val="24"/>
        </w:rPr>
        <w:t>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6110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6110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110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6110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идентификационный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налогоплательщика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4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3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3.1.2.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Оп</w:t>
      </w:r>
      <w:r>
        <w:rPr>
          <w:rFonts w:ascii="Times New Roman" w:hAnsi="Times New Roman" w:cs="Times New Roman"/>
          <w:color w:val="000000"/>
          <w:sz w:val="28"/>
          <w:szCs w:val="24"/>
        </w:rPr>
        <w:t>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какое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выразились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3.1.3.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обобщенную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94" w:bottom="660" w:left="1440" w:header="0" w:footer="0" w:gutter="0"/>
          <w:cols w:space="720"/>
          <w:noEndnote/>
        </w:sectPr>
      </w:pP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сгруппированных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3.2.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излагаемые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одтверждаться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объяснениями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</w:t>
      </w:r>
      <w:r>
        <w:rPr>
          <w:rFonts w:ascii="Times New Roman" w:hAnsi="Times New Roman" w:cs="Times New Roman"/>
          <w:color w:val="000000"/>
          <w:sz w:val="28"/>
          <w:szCs w:val="24"/>
        </w:rPr>
        <w:t>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7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морально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этическая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квалифицироваться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</w:t>
      </w:r>
      <w:r>
        <w:rPr>
          <w:rFonts w:ascii="Times New Roman" w:hAnsi="Times New Roman" w:cs="Times New Roman"/>
          <w:color w:val="000000"/>
          <w:sz w:val="28"/>
          <w:szCs w:val="24"/>
        </w:rPr>
        <w:t>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сопроводительным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возвращен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сопроводительным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возражения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</w:t>
      </w:r>
      <w:r>
        <w:rPr>
          <w:rFonts w:ascii="Times New Roman" w:hAnsi="Times New Roman" w:cs="Times New Roman"/>
          <w:color w:val="000000"/>
          <w:sz w:val="28"/>
          <w:szCs w:val="24"/>
        </w:rPr>
        <w:t>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3.6.1.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возражений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сопроводительным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11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</w:t>
      </w:r>
      <w:r>
        <w:rPr>
          <w:rFonts w:ascii="Times New Roman" w:hAnsi="Times New Roman" w:cs="Times New Roman"/>
          <w:color w:val="000000"/>
          <w:sz w:val="28"/>
          <w:szCs w:val="24"/>
        </w:rPr>
        <w:t>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</w:t>
      </w:r>
      <w:r>
        <w:rPr>
          <w:rFonts w:ascii="Times New Roman" w:hAnsi="Times New Roman" w:cs="Times New Roman"/>
          <w:color w:val="000000"/>
          <w:sz w:val="28"/>
          <w:szCs w:val="24"/>
        </w:rPr>
        <w:t>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3.9.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26110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0" w:lineRule="exact"/>
        <w:ind w:left="102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</w:t>
      </w:r>
      <w:r>
        <w:rPr>
          <w:rFonts w:ascii="Times New Roman" w:hAnsi="Times New Roman" w:cs="Times New Roman"/>
          <w:color w:val="000000"/>
          <w:sz w:val="28"/>
          <w:szCs w:val="24"/>
        </w:rPr>
        <w:t>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>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3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110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262" w:right="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4" w:lineRule="exact"/>
        <w:ind w:left="262"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4.1.3.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ущерба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4.1.4.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предписании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предписании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3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4.1.5.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</w:t>
      </w:r>
      <w:r>
        <w:rPr>
          <w:rFonts w:ascii="Times New Roman" w:hAnsi="Times New Roman" w:cs="Times New Roman"/>
          <w:color w:val="000000"/>
          <w:sz w:val="28"/>
          <w:szCs w:val="24"/>
        </w:rPr>
        <w:t>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ущерба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ущерба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предписания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</w:t>
      </w:r>
      <w:r>
        <w:rPr>
          <w:rFonts w:ascii="Times New Roman" w:hAnsi="Times New Roman" w:cs="Times New Roman"/>
          <w:color w:val="000000"/>
          <w:sz w:val="28"/>
          <w:szCs w:val="24"/>
        </w:rPr>
        <w:t>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30" w:lineRule="exact"/>
        <w:ind w:left="262"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4.3.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выявлении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</w:t>
      </w:r>
      <w:r>
        <w:rPr>
          <w:rFonts w:ascii="Times New Roman" w:hAnsi="Times New Roman" w:cs="Times New Roman"/>
          <w:color w:val="000000"/>
          <w:sz w:val="28"/>
          <w:szCs w:val="24"/>
        </w:rPr>
        <w:t>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принуждения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70" w:right="426" w:bottom="660" w:left="1440" w:header="0" w:footer="0" w:gutter="0"/>
          <w:cols w:space="720"/>
          <w:noEndnote/>
        </w:sectPr>
      </w:pPr>
    </w:p>
    <w:p w:rsidR="00000000" w:rsidRDefault="0026110B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ежеквартально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1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350" w:right="494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BD"/>
    <w:multiLevelType w:val="hybridMultilevel"/>
    <w:tmpl w:val="00012AE9"/>
    <w:lvl w:ilvl="0" w:tplc="000007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CD0"/>
    <w:multiLevelType w:val="hybridMultilevel"/>
    <w:tmpl w:val="00011FD0"/>
    <w:lvl w:ilvl="0" w:tplc="00001E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978"/>
    <w:multiLevelType w:val="hybridMultilevel"/>
    <w:tmpl w:val="000158EF"/>
    <w:lvl w:ilvl="0" w:tplc="00001AA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D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7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9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125"/>
    <w:multiLevelType w:val="hybridMultilevel"/>
    <w:tmpl w:val="00009267"/>
    <w:lvl w:ilvl="0" w:tplc="000003E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2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4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08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F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C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F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0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4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2EB8"/>
    <w:multiLevelType w:val="hybridMultilevel"/>
    <w:tmpl w:val="0000A91D"/>
    <w:lvl w:ilvl="0" w:tplc="000024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3B8C"/>
    <w:multiLevelType w:val="hybridMultilevel"/>
    <w:tmpl w:val="0000233D"/>
    <w:lvl w:ilvl="0" w:tplc="00000A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F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0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1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5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4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8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6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5723"/>
    <w:multiLevelType w:val="hybridMultilevel"/>
    <w:tmpl w:val="00017E20"/>
    <w:lvl w:ilvl="0" w:tplc="000009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6050"/>
    <w:multiLevelType w:val="hybridMultilevel"/>
    <w:tmpl w:val="0000D3F3"/>
    <w:lvl w:ilvl="0" w:tplc="00001B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676D"/>
    <w:multiLevelType w:val="hybridMultilevel"/>
    <w:tmpl w:val="00005556"/>
    <w:lvl w:ilvl="0" w:tplc="000006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67CD"/>
    <w:multiLevelType w:val="hybridMultilevel"/>
    <w:tmpl w:val="00012D04"/>
    <w:lvl w:ilvl="0" w:tplc="000017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6FB9"/>
    <w:multiLevelType w:val="hybridMultilevel"/>
    <w:tmpl w:val="0000DAF1"/>
    <w:lvl w:ilvl="0" w:tplc="00000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73E6"/>
    <w:multiLevelType w:val="hybridMultilevel"/>
    <w:tmpl w:val="0000310E"/>
    <w:lvl w:ilvl="0" w:tplc="0000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5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F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9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C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2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7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E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7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89D9"/>
    <w:multiLevelType w:val="hybridMultilevel"/>
    <w:tmpl w:val="000157DD"/>
    <w:lvl w:ilvl="0" w:tplc="00002473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0B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E9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E3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2E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4D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42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D1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B4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BD0D"/>
    <w:multiLevelType w:val="hybridMultilevel"/>
    <w:tmpl w:val="000033B3"/>
    <w:lvl w:ilvl="0" w:tplc="000000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BE33"/>
    <w:multiLevelType w:val="hybridMultilevel"/>
    <w:tmpl w:val="00015092"/>
    <w:lvl w:ilvl="0" w:tplc="000006A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A4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BE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8B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B4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C1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93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2E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33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BFDF"/>
    <w:multiLevelType w:val="hybridMultilevel"/>
    <w:tmpl w:val="000121C7"/>
    <w:lvl w:ilvl="0" w:tplc="00000C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CC9A"/>
    <w:multiLevelType w:val="hybridMultilevel"/>
    <w:tmpl w:val="00015017"/>
    <w:lvl w:ilvl="0" w:tplc="000006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DD21"/>
    <w:multiLevelType w:val="hybridMultilevel"/>
    <w:tmpl w:val="0000BDA0"/>
    <w:lvl w:ilvl="0" w:tplc="000002E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3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3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9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3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3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1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E51E"/>
    <w:multiLevelType w:val="hybridMultilevel"/>
    <w:tmpl w:val="00013531"/>
    <w:lvl w:ilvl="0" w:tplc="000001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EF39"/>
    <w:multiLevelType w:val="hybridMultilevel"/>
    <w:tmpl w:val="00011127"/>
    <w:lvl w:ilvl="0" w:tplc="000015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FCC2"/>
    <w:multiLevelType w:val="hybridMultilevel"/>
    <w:tmpl w:val="0000241D"/>
    <w:lvl w:ilvl="0" w:tplc="00000F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3E95"/>
    <w:multiLevelType w:val="hybridMultilevel"/>
    <w:tmpl w:val="000021E2"/>
    <w:lvl w:ilvl="0" w:tplc="000018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4284"/>
    <w:multiLevelType w:val="hybridMultilevel"/>
    <w:tmpl w:val="00012916"/>
    <w:lvl w:ilvl="0" w:tplc="000005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1469C"/>
    <w:multiLevelType w:val="hybridMultilevel"/>
    <w:tmpl w:val="000171B5"/>
    <w:lvl w:ilvl="0" w:tplc="00000B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153D5"/>
    <w:multiLevelType w:val="hybridMultilevel"/>
    <w:tmpl w:val="0000F8B0"/>
    <w:lvl w:ilvl="0" w:tplc="000022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6713"/>
    <w:multiLevelType w:val="hybridMultilevel"/>
    <w:tmpl w:val="00012AD2"/>
    <w:lvl w:ilvl="0" w:tplc="0000229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C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A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A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F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D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D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C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9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6F0C"/>
    <w:multiLevelType w:val="hybridMultilevel"/>
    <w:tmpl w:val="00003401"/>
    <w:lvl w:ilvl="0" w:tplc="000010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176AE"/>
    <w:multiLevelType w:val="hybridMultilevel"/>
    <w:tmpl w:val="00012E9E"/>
    <w:lvl w:ilvl="0" w:tplc="000012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8"/>
  </w:num>
  <w:num w:numId="5">
    <w:abstractNumId w:val="27"/>
  </w:num>
  <w:num w:numId="6">
    <w:abstractNumId w:val="23"/>
  </w:num>
  <w:num w:numId="7">
    <w:abstractNumId w:val="1"/>
  </w:num>
  <w:num w:numId="8">
    <w:abstractNumId w:val="3"/>
  </w:num>
  <w:num w:numId="9">
    <w:abstractNumId w:val="20"/>
  </w:num>
  <w:num w:numId="10">
    <w:abstractNumId w:val="8"/>
  </w:num>
  <w:num w:numId="11">
    <w:abstractNumId w:val="9"/>
  </w:num>
  <w:num w:numId="12">
    <w:abstractNumId w:val="16"/>
  </w:num>
  <w:num w:numId="13">
    <w:abstractNumId w:val="4"/>
  </w:num>
  <w:num w:numId="14">
    <w:abstractNumId w:val="2"/>
  </w:num>
  <w:num w:numId="15">
    <w:abstractNumId w:val="0"/>
  </w:num>
  <w:num w:numId="16">
    <w:abstractNumId w:val="10"/>
  </w:num>
  <w:num w:numId="17">
    <w:abstractNumId w:val="13"/>
  </w:num>
  <w:num w:numId="18">
    <w:abstractNumId w:val="19"/>
  </w:num>
  <w:num w:numId="19">
    <w:abstractNumId w:val="7"/>
  </w:num>
  <w:num w:numId="20">
    <w:abstractNumId w:val="6"/>
  </w:num>
  <w:num w:numId="21">
    <w:abstractNumId w:val="24"/>
  </w:num>
  <w:num w:numId="22">
    <w:abstractNumId w:val="21"/>
  </w:num>
  <w:num w:numId="23">
    <w:abstractNumId w:val="14"/>
  </w:num>
  <w:num w:numId="24">
    <w:abstractNumId w:val="15"/>
  </w:num>
  <w:num w:numId="25">
    <w:abstractNumId w:val="22"/>
  </w:num>
  <w:num w:numId="26">
    <w:abstractNumId w:val="17"/>
  </w:num>
  <w:num w:numId="27">
    <w:abstractNumId w:val="12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6110B"/>
    <w:rsid w:val="0026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3901</Words>
  <Characters>22241</Characters>
  <Application>Microsoft Office Word</Application>
  <DocSecurity>4</DocSecurity>
  <Lines>185</Lines>
  <Paragraphs>52</Paragraphs>
  <ScaleCrop>false</ScaleCrop>
  <Company/>
  <LinksUpToDate>false</LinksUpToDate>
  <CharactersWithSpaces>26090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2016-03-28T12:35:00Z</dcterms:created>
  <dcterms:modified xsi:type="dcterms:W3CDTF">2016-03-28T12:35:00Z</dcterms:modified>
</cp:coreProperties>
</file>