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369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-758190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15" w:after="0" w:line="320" w:lineRule="exact"/>
        <w:ind w:left="1721" w:right="162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195" w:after="0" w:line="345" w:lineRule="exact"/>
        <w:ind w:left="2912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01.03.2016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96 </w:t>
      </w:r>
    </w:p>
    <w:p w:rsidR="00000000" w:rsidRDefault="009C7DA3">
      <w:pPr>
        <w:widowControl w:val="0"/>
        <w:autoSpaceDE w:val="0"/>
        <w:autoSpaceDN w:val="0"/>
        <w:adjustRightInd w:val="0"/>
        <w:spacing w:before="175" w:after="0" w:line="225" w:lineRule="exact"/>
        <w:ind w:left="438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29.09.2015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709  </w:t>
      </w:r>
    </w:p>
    <w:p w:rsidR="00000000" w:rsidRDefault="009C7D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65" w:after="0" w:line="330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</w:p>
    <w:p w:rsidR="00000000" w:rsidRDefault="009C7D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38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</w:t>
      </w:r>
      <w:r>
        <w:rPr>
          <w:rFonts w:ascii="Times New Roman" w:hAnsi="Times New Roman" w:cs="Times New Roman"/>
          <w:color w:val="000000"/>
          <w:sz w:val="28"/>
          <w:szCs w:val="24"/>
        </w:rPr>
        <w:t>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4" w:lineRule="exact"/>
        <w:ind w:left="38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709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7D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38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38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38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61" w:right="322" w:bottom="660" w:left="1380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0" w:lineRule="exact"/>
        <w:ind w:left="5639" w:right="1049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01.03.2016 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96 </w:t>
      </w:r>
    </w:p>
    <w:p w:rsidR="00000000" w:rsidRDefault="009C7DA3">
      <w:pPr>
        <w:widowControl w:val="0"/>
        <w:autoSpaceDE w:val="0"/>
        <w:autoSpaceDN w:val="0"/>
        <w:adjustRightInd w:val="0"/>
        <w:spacing w:before="215"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5639" w:right="1049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9C7DA3">
      <w:pPr>
        <w:widowControl w:val="0"/>
        <w:tabs>
          <w:tab w:val="left" w:pos="7746"/>
        </w:tabs>
        <w:autoSpaceDE w:val="0"/>
        <w:autoSpaceDN w:val="0"/>
        <w:adjustRightInd w:val="0"/>
        <w:spacing w:after="0" w:line="285" w:lineRule="exact"/>
        <w:ind w:left="56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29.09.2015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709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3"/>
        <w:jc w:val="right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9C7D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70" w:after="0" w:line="330" w:lineRule="exact"/>
        <w:ind w:left="37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142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65"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398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65" w:after="0" w:line="34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9C7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4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7DA3">
      <w:pPr>
        <w:widowControl w:val="0"/>
        <w:autoSpaceDE w:val="0"/>
        <w:autoSpaceDN w:val="0"/>
        <w:adjustRightInd w:val="0"/>
        <w:spacing w:before="270" w:after="0" w:line="330" w:lineRule="exact"/>
        <w:ind w:left="256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2489" w:right="-38" w:firstLine="0"/>
        <w:rPr>
          <w:rFonts w:ascii="Times New Roman" w:hAnsi="Times New Roman" w:cs="Times New Roman"/>
          <w:b/>
          <w:i/>
          <w:color w:val="7030A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7030A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3" w:right="31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http://stepnoeadm.ru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2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3" w:lineRule="exact"/>
        <w:ind w:right="2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</w:t>
      </w:r>
      <w:r>
        <w:rPr>
          <w:rFonts w:ascii="Times New Roman" w:hAnsi="Times New Roman" w:cs="Times New Roman"/>
          <w:color w:val="000000"/>
          <w:sz w:val="28"/>
          <w:szCs w:val="24"/>
        </w:rPr>
        <w:t>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566" w:right="19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252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</w:t>
      </w:r>
      <w:r>
        <w:rPr>
          <w:rFonts w:ascii="Times New Roman" w:hAnsi="Times New Roman" w:cs="Times New Roman"/>
          <w:color w:val="000000"/>
          <w:sz w:val="28"/>
          <w:szCs w:val="24"/>
        </w:rPr>
        <w:t>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2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</w:t>
      </w:r>
      <w:r>
        <w:rPr>
          <w:rFonts w:ascii="Times New Roman" w:hAnsi="Times New Roman" w:cs="Times New Roman"/>
          <w:color w:val="000000"/>
          <w:sz w:val="28"/>
          <w:szCs w:val="24"/>
        </w:rPr>
        <w:t>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4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9C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03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24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212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1166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4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7D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4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</w:t>
      </w:r>
      <w:r>
        <w:rPr>
          <w:rFonts w:ascii="Times New Roman" w:hAnsi="Times New Roman" w:cs="Times New Roman"/>
          <w:color w:val="000000"/>
          <w:sz w:val="28"/>
          <w:szCs w:val="24"/>
        </w:rPr>
        <w:t>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10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96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7D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7DA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9C7DA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4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9C7D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</w:t>
      </w:r>
      <w:r>
        <w:rPr>
          <w:rFonts w:ascii="Times New Roman" w:hAnsi="Times New Roman" w:cs="Times New Roman"/>
          <w:color w:val="000000"/>
          <w:sz w:val="28"/>
          <w:szCs w:val="24"/>
        </w:rPr>
        <w:t>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201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7DA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17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18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9C7DA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1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19"/>
        </w:numPr>
        <w:tabs>
          <w:tab w:val="left" w:pos="842"/>
          <w:tab w:val="left" w:pos="2882"/>
        </w:tabs>
        <w:autoSpaceDE w:val="0"/>
        <w:autoSpaceDN w:val="0"/>
        <w:adjustRightInd w:val="0"/>
        <w:spacing w:after="0" w:line="320" w:lineRule="exact"/>
        <w:ind w:left="0" w:right="3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258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31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62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C7DA3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before="270" w:after="0" w:line="330" w:lineRule="exact"/>
        <w:ind w:left="50" w:right="36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65" w:after="0" w:line="340" w:lineRule="exact"/>
        <w:ind w:right="3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9C7D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168,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</w:t>
      </w:r>
      <w:r>
        <w:rPr>
          <w:rFonts w:ascii="Times New Roman" w:hAnsi="Times New Roman" w:cs="Times New Roman"/>
          <w:color w:val="000000"/>
          <w:sz w:val="28"/>
          <w:szCs w:val="24"/>
        </w:rPr>
        <w:t>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02.08. 2010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9C7D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5" w:lineRule="exact"/>
        <w:ind w:left="0" w:right="3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14.01.2005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9C7D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30.12.2004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9C7DA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08.10.2003      </w:t>
      </w:r>
    </w:p>
    <w:p w:rsidR="00000000" w:rsidRDefault="009C7DA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1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202,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08.10.2003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186,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9C7DA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3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08.05. 2006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9C7D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634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02.07.2012); </w:t>
      </w:r>
    </w:p>
    <w:p w:rsidR="00000000" w:rsidRDefault="009C7D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9C7D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9C7D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26.08.2009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7DA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30.05.2007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175,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17.06.2014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595).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20" w:lineRule="exact"/>
        <w:ind w:left="1958" w:right="138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</w:t>
      </w:r>
      <w:r>
        <w:rPr>
          <w:rFonts w:ascii="Times New Roman" w:hAnsi="Times New Roman" w:cs="Times New Roman"/>
          <w:color w:val="000000"/>
          <w:sz w:val="28"/>
          <w:szCs w:val="24"/>
        </w:rPr>
        <w:t>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</w:p>
    <w:p w:rsidR="00000000" w:rsidRDefault="009C7DA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эскизный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1, 2, 3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</w:t>
      </w:r>
      <w:r>
        <w:rPr>
          <w:rFonts w:ascii="Times New Roman" w:hAnsi="Times New Roman" w:cs="Times New Roman"/>
          <w:color w:val="000000"/>
          <w:sz w:val="28"/>
          <w:szCs w:val="24"/>
        </w:rPr>
        <w:t>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2.6.4.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заверены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20" w:lineRule="exact"/>
        <w:ind w:left="564" w:right="462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1654" w:right="84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4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7D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21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149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9C7DA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1296" w:right="554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20" w:lineRule="exact"/>
        <w:ind w:left="617" w:right="57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70" w:after="0" w:line="330" w:lineRule="exact"/>
        <w:ind w:left="280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left="14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numPr>
          <w:ilvl w:val="0"/>
          <w:numId w:val="32"/>
        </w:numPr>
        <w:tabs>
          <w:tab w:val="left" w:pos="8425"/>
        </w:tabs>
        <w:autoSpaceDE w:val="0"/>
        <w:autoSpaceDN w:val="0"/>
        <w:adjustRightInd w:val="0"/>
        <w:spacing w:after="0" w:line="320" w:lineRule="exact"/>
        <w:ind w:left="2360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25"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366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9C7DA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215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383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2.21.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2.22.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30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30" w:lineRule="exact"/>
        <w:ind w:left="2825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70" w:after="0" w:line="320" w:lineRule="exact"/>
        <w:ind w:left="622" w:right="5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1307"/>
        </w:tabs>
        <w:autoSpaceDE w:val="0"/>
        <w:autoSpaceDN w:val="0"/>
        <w:adjustRightInd w:val="0"/>
        <w:spacing w:before="25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2.25.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9C7D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9C7D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316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9C7DA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7D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283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1010" w:right="27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5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</w:t>
      </w:r>
      <w:r>
        <w:rPr>
          <w:rFonts w:ascii="Times New Roman" w:hAnsi="Times New Roman" w:cs="Times New Roman"/>
          <w:color w:val="000000"/>
          <w:sz w:val="28"/>
          <w:szCs w:val="24"/>
        </w:rPr>
        <w:t>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</w:t>
      </w:r>
      <w:r>
        <w:rPr>
          <w:rFonts w:ascii="Times New Roman" w:hAnsi="Times New Roman" w:cs="Times New Roman"/>
          <w:color w:val="000000"/>
          <w:sz w:val="28"/>
          <w:szCs w:val="24"/>
        </w:rPr>
        <w:t>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4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566" w:right="18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</w:t>
      </w:r>
      <w:r>
        <w:rPr>
          <w:rFonts w:ascii="Times New Roman" w:hAnsi="Times New Roman" w:cs="Times New Roman"/>
          <w:color w:val="000000"/>
          <w:sz w:val="28"/>
          <w:szCs w:val="24"/>
        </w:rPr>
        <w:t>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3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872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7030A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7030A0"/>
          <w:sz w:val="28"/>
          <w:szCs w:val="24"/>
        </w:rPr>
        <w:tab/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13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2.11.; </w:t>
      </w:r>
    </w:p>
    <w:p w:rsidR="00000000" w:rsidRDefault="009C7DA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4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4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</w:t>
      </w:r>
      <w:r>
        <w:rPr>
          <w:rFonts w:ascii="Times New Roman" w:hAnsi="Times New Roman" w:cs="Times New Roman"/>
          <w:color w:val="000000"/>
          <w:sz w:val="28"/>
          <w:szCs w:val="24"/>
        </w:rPr>
        <w:t>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2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</w:t>
      </w:r>
      <w:r>
        <w:rPr>
          <w:rFonts w:ascii="Times New Roman" w:hAnsi="Times New Roman" w:cs="Times New Roman"/>
          <w:color w:val="000000"/>
          <w:sz w:val="28"/>
          <w:szCs w:val="24"/>
        </w:rPr>
        <w:t>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28"/>
          <w:szCs w:val="24"/>
        </w:rPr>
        <w:t>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</w:t>
      </w:r>
      <w:r>
        <w:rPr>
          <w:rFonts w:ascii="Times New Roman" w:hAnsi="Times New Roman" w:cs="Times New Roman"/>
          <w:color w:val="000000"/>
          <w:sz w:val="28"/>
          <w:szCs w:val="24"/>
        </w:rPr>
        <w:t>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1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3.3.6.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3.3.7.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2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810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3.4.3.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3.5.2.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зовывает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3.5.3.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3.5.4.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40" w:lineRule="exact"/>
        <w:ind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3.5.6.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0" w:right="1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6" w:lineRule="exact"/>
        <w:ind w:right="1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>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297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C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3.6.5.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737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3.6.6.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3" w:lineRule="exact"/>
        <w:ind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6" w:lineRule="exact"/>
        <w:ind w:right="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3.7.1.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1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73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0" w:right="1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0" w:right="11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33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566" w:right="69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льтат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9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вынесе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некачественном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before="290" w:after="0" w:line="330" w:lineRule="exact"/>
        <w:ind w:left="13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118" w:right="8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4"/>
        </w:rPr>
        <w:t>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5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C7DA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</w:t>
      </w:r>
      <w:r>
        <w:rPr>
          <w:rFonts w:ascii="Times New Roman" w:hAnsi="Times New Roman" w:cs="Times New Roman"/>
          <w:color w:val="000000"/>
          <w:sz w:val="28"/>
          <w:szCs w:val="24"/>
        </w:rPr>
        <w:t>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9C7DA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9C7DA3">
      <w:pPr>
        <w:widowControl w:val="0"/>
        <w:tabs>
          <w:tab w:val="left" w:pos="1386"/>
          <w:tab w:val="left" w:pos="149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</w:t>
      </w:r>
      <w:r>
        <w:rPr>
          <w:rFonts w:ascii="Times New Roman" w:hAnsi="Times New Roman" w:cs="Times New Roman"/>
          <w:color w:val="000000"/>
          <w:sz w:val="28"/>
          <w:szCs w:val="24"/>
        </w:rPr>
        <w:t>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right="34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10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255" w:lineRule="exact"/>
        <w:ind w:left="634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9C7DA3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45" w:lineRule="exact"/>
        <w:ind w:left="6347" w:right="-30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20" w:lineRule="exact"/>
        <w:ind w:left="3694" w:right="20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45" w:lineRule="exact"/>
        <w:ind w:left="3694" w:right="-30"/>
        <w:rPr>
          <w:rFonts w:ascii="Calibri" w:hAnsi="Calibri" w:cs="Times New Roman"/>
          <w:color w:val="000000"/>
          <w:spacing w:val="-1"/>
          <w:sz w:val="28"/>
          <w:szCs w:val="24"/>
        </w:rPr>
      </w:pPr>
      <w:r>
        <w:rPr>
          <w:rFonts w:ascii="Calibri" w:hAnsi="Calibri" w:cs="Times New Roman"/>
          <w:color w:val="000000"/>
          <w:spacing w:val="-1"/>
          <w:sz w:val="28"/>
          <w:szCs w:val="24"/>
        </w:rPr>
        <w:t xml:space="preserve">____________________________________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55" w:lineRule="exact"/>
        <w:ind w:left="3709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__________________________________________________ </w:t>
      </w:r>
    </w:p>
    <w:p w:rsidR="00000000" w:rsidRDefault="009C7DA3">
      <w:pPr>
        <w:widowControl w:val="0"/>
        <w:tabs>
          <w:tab w:val="left" w:pos="9099"/>
        </w:tabs>
        <w:autoSpaceDE w:val="0"/>
        <w:autoSpaceDN w:val="0"/>
        <w:adjustRightInd w:val="0"/>
        <w:spacing w:after="0" w:line="315" w:lineRule="exact"/>
        <w:ind w:left="370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полное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место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240" w:lineRule="exact"/>
        <w:ind w:left="3709" w:right="48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факс</w:t>
      </w:r>
      <w:r>
        <w:rPr>
          <w:rFonts w:ascii="Times New Roman" w:hAnsi="Times New Roman" w:cs="Times New Roman"/>
          <w:color w:val="000000"/>
          <w:szCs w:val="24"/>
        </w:rPr>
        <w:t xml:space="preserve">; 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270" w:lineRule="exact"/>
        <w:ind w:left="3709" w:right="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_____________________________________________________ </w:t>
      </w:r>
      <w:r>
        <w:rPr>
          <w:rFonts w:ascii="Times New Roman" w:hAnsi="Times New Roman" w:cs="Times New Roman"/>
          <w:color w:val="000000"/>
          <w:szCs w:val="24"/>
        </w:rPr>
        <w:t>ФИО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Cs w:val="24"/>
        </w:rPr>
        <w:t>почтовый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данные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телефон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факс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255" w:lineRule="exact"/>
        <w:ind w:left="376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before="270" w:after="0" w:line="330" w:lineRule="exact"/>
        <w:ind w:left="4129"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9C7DA3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7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C7DA3">
      <w:pPr>
        <w:widowControl w:val="0"/>
        <w:autoSpaceDE w:val="0"/>
        <w:autoSpaceDN w:val="0"/>
        <w:adjustRightInd w:val="0"/>
        <w:spacing w:before="25" w:after="0" w:line="900" w:lineRule="exact"/>
        <w:ind w:right="5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exact"/>
        <w:ind w:left="242" w:right="22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улиц</w:t>
      </w:r>
      <w:r>
        <w:rPr>
          <w:rFonts w:ascii="Times New Roman" w:hAnsi="Times New Roman" w:cs="Times New Roman"/>
          <w:color w:val="000000"/>
          <w:szCs w:val="24"/>
        </w:rPr>
        <w:t>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дом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либо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адресные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ориентиры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номер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объекта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9C7DA3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_ </w:t>
      </w:r>
    </w:p>
    <w:p w:rsidR="00000000" w:rsidRDefault="009C7DA3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before="205" w:after="0" w:line="580" w:lineRule="exact"/>
        <w:ind w:right="3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 </w:t>
      </w:r>
    </w:p>
    <w:p w:rsidR="00000000" w:rsidRDefault="009C7DA3">
      <w:pPr>
        <w:widowControl w:val="0"/>
        <w:autoSpaceDE w:val="0"/>
        <w:autoSpaceDN w:val="0"/>
        <w:adjustRightInd w:val="0"/>
        <w:spacing w:before="22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000000" w:rsidRDefault="009C7DA3">
      <w:pPr>
        <w:widowControl w:val="0"/>
        <w:tabs>
          <w:tab w:val="left" w:pos="1631"/>
        </w:tabs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i/>
          <w:color w:val="000000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ab/>
        <w:t xml:space="preserve"> </w:t>
      </w:r>
    </w:p>
    <w:p w:rsidR="00000000" w:rsidRDefault="009C7DA3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20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_____» _____________  20___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>.                                        _______________________________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25" w:lineRule="exact"/>
        <w:ind w:left="742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381" w:bottom="660" w:left="1419" w:header="0" w:footer="0" w:gutter="0"/>
          <w:cols w:space="720"/>
          <w:noEndnote/>
        </w:sectPr>
      </w:pP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9C7DA3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регламенту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0" w:lineRule="exact"/>
        <w:ind w:left="53" w:right="15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300" w:lineRule="exact"/>
        <w:ind w:left="3913" w:right="48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85" w:lineRule="exact"/>
        <w:ind w:left="39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C7DA3">
      <w:pPr>
        <w:widowControl w:val="0"/>
        <w:tabs>
          <w:tab w:val="left" w:pos="8271"/>
        </w:tabs>
        <w:autoSpaceDE w:val="0"/>
        <w:autoSpaceDN w:val="0"/>
        <w:adjustRightInd w:val="0"/>
        <w:spacing w:after="0" w:line="285" w:lineRule="exact"/>
        <w:ind w:left="3913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9C7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365" w:right="686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0E"/>
    <w:multiLevelType w:val="hybridMultilevel"/>
    <w:tmpl w:val="00006F47"/>
    <w:lvl w:ilvl="0" w:tplc="00001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A8C"/>
    <w:multiLevelType w:val="hybridMultilevel"/>
    <w:tmpl w:val="0001405D"/>
    <w:lvl w:ilvl="0" w:tplc="0000090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1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A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3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B4D"/>
    <w:multiLevelType w:val="hybridMultilevel"/>
    <w:tmpl w:val="00008166"/>
    <w:lvl w:ilvl="0" w:tplc="00001F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38B"/>
    <w:multiLevelType w:val="hybridMultilevel"/>
    <w:tmpl w:val="00001B80"/>
    <w:lvl w:ilvl="0" w:tplc="00000A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4F2"/>
    <w:multiLevelType w:val="hybridMultilevel"/>
    <w:tmpl w:val="00001800"/>
    <w:lvl w:ilvl="0" w:tplc="00001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745"/>
    <w:multiLevelType w:val="hybridMultilevel"/>
    <w:tmpl w:val="0000C31D"/>
    <w:lvl w:ilvl="0" w:tplc="000023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9D1"/>
    <w:multiLevelType w:val="hybridMultilevel"/>
    <w:tmpl w:val="00007E57"/>
    <w:lvl w:ilvl="0" w:tplc="0000135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F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5F2"/>
    <w:multiLevelType w:val="hybridMultilevel"/>
    <w:tmpl w:val="00005B0C"/>
    <w:lvl w:ilvl="0" w:tplc="00001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7CD"/>
    <w:multiLevelType w:val="hybridMultilevel"/>
    <w:tmpl w:val="000015CF"/>
    <w:lvl w:ilvl="0" w:tplc="00000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E2E"/>
    <w:multiLevelType w:val="hybridMultilevel"/>
    <w:tmpl w:val="000020A3"/>
    <w:lvl w:ilvl="0" w:tplc="000010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4E55"/>
    <w:multiLevelType w:val="hybridMultilevel"/>
    <w:tmpl w:val="000096B2"/>
    <w:lvl w:ilvl="0" w:tplc="00000D3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C2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118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ADA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741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734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3C0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2A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556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4EF4"/>
    <w:multiLevelType w:val="hybridMultilevel"/>
    <w:tmpl w:val="00009AF2"/>
    <w:lvl w:ilvl="0" w:tplc="00001F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5672"/>
    <w:multiLevelType w:val="hybridMultilevel"/>
    <w:tmpl w:val="00002998"/>
    <w:lvl w:ilvl="0" w:tplc="00001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4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A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0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ABF"/>
    <w:multiLevelType w:val="hybridMultilevel"/>
    <w:tmpl w:val="000177C2"/>
    <w:lvl w:ilvl="0" w:tplc="00002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6274"/>
    <w:multiLevelType w:val="hybridMultilevel"/>
    <w:tmpl w:val="00000CE5"/>
    <w:lvl w:ilvl="0" w:tplc="000017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34D"/>
    <w:multiLevelType w:val="hybridMultilevel"/>
    <w:tmpl w:val="000146CE"/>
    <w:lvl w:ilvl="0" w:tplc="00002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688C"/>
    <w:multiLevelType w:val="hybridMultilevel"/>
    <w:tmpl w:val="0000B1D3"/>
    <w:lvl w:ilvl="0" w:tplc="0000184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7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6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92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4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B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7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96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68AB"/>
    <w:multiLevelType w:val="hybridMultilevel"/>
    <w:tmpl w:val="00002DC2"/>
    <w:lvl w:ilvl="0" w:tplc="00002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105"/>
    <w:multiLevelType w:val="hybridMultilevel"/>
    <w:tmpl w:val="00000496"/>
    <w:lvl w:ilvl="0" w:tplc="00000C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918"/>
    <w:multiLevelType w:val="hybridMultilevel"/>
    <w:tmpl w:val="000045DB"/>
    <w:lvl w:ilvl="0" w:tplc="000025F5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9C7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1D5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82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4D1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B2D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BF6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6B0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79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79B7"/>
    <w:multiLevelType w:val="hybridMultilevel"/>
    <w:tmpl w:val="00004A1A"/>
    <w:lvl w:ilvl="0" w:tplc="000011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7B7D"/>
    <w:multiLevelType w:val="hybridMultilevel"/>
    <w:tmpl w:val="0001361C"/>
    <w:lvl w:ilvl="0" w:tplc="000011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8316"/>
    <w:multiLevelType w:val="hybridMultilevel"/>
    <w:tmpl w:val="0000EE3E"/>
    <w:lvl w:ilvl="0" w:tplc="00001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8692"/>
    <w:multiLevelType w:val="hybridMultilevel"/>
    <w:tmpl w:val="00005E29"/>
    <w:lvl w:ilvl="0" w:tplc="00001A6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1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9C76"/>
    <w:multiLevelType w:val="hybridMultilevel"/>
    <w:tmpl w:val="00008FD7"/>
    <w:lvl w:ilvl="0" w:tplc="000023D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BA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F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F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C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3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B009"/>
    <w:multiLevelType w:val="hybridMultilevel"/>
    <w:tmpl w:val="000082A9"/>
    <w:lvl w:ilvl="0" w:tplc="00001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BE2A"/>
    <w:multiLevelType w:val="hybridMultilevel"/>
    <w:tmpl w:val="00007CF1"/>
    <w:lvl w:ilvl="0" w:tplc="00001C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2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C0BC"/>
    <w:multiLevelType w:val="hybridMultilevel"/>
    <w:tmpl w:val="0000965F"/>
    <w:lvl w:ilvl="0" w:tplc="00000B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EBA"/>
    <w:multiLevelType w:val="hybridMultilevel"/>
    <w:tmpl w:val="0000D664"/>
    <w:lvl w:ilvl="0" w:tplc="000009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B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D32D"/>
    <w:multiLevelType w:val="hybridMultilevel"/>
    <w:tmpl w:val="00003FF2"/>
    <w:lvl w:ilvl="0" w:tplc="000000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D817"/>
    <w:multiLevelType w:val="hybridMultilevel"/>
    <w:tmpl w:val="00016748"/>
    <w:lvl w:ilvl="0" w:tplc="000017F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B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F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B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4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0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DB9D"/>
    <w:multiLevelType w:val="hybridMultilevel"/>
    <w:tmpl w:val="0000930F"/>
    <w:lvl w:ilvl="0" w:tplc="00001C6C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500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B8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2444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673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FCF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8E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664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6D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DD4C"/>
    <w:multiLevelType w:val="hybridMultilevel"/>
    <w:tmpl w:val="00004267"/>
    <w:lvl w:ilvl="0" w:tplc="000025C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B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0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E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DEBF"/>
    <w:multiLevelType w:val="hybridMultilevel"/>
    <w:tmpl w:val="0001389D"/>
    <w:lvl w:ilvl="0" w:tplc="000017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E08A"/>
    <w:multiLevelType w:val="hybridMultilevel"/>
    <w:tmpl w:val="0000C47D"/>
    <w:lvl w:ilvl="0" w:tplc="000002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9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B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3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E0D0"/>
    <w:multiLevelType w:val="hybridMultilevel"/>
    <w:tmpl w:val="000116AC"/>
    <w:lvl w:ilvl="0" w:tplc="000026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E1D2"/>
    <w:multiLevelType w:val="hybridMultilevel"/>
    <w:tmpl w:val="0000DF69"/>
    <w:lvl w:ilvl="0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E8CF"/>
    <w:multiLevelType w:val="hybridMultilevel"/>
    <w:tmpl w:val="00003C51"/>
    <w:lvl w:ilvl="0" w:tplc="000010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EA7E"/>
    <w:multiLevelType w:val="hybridMultilevel"/>
    <w:tmpl w:val="00017248"/>
    <w:lvl w:ilvl="0" w:tplc="000019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F4DA"/>
    <w:multiLevelType w:val="hybridMultilevel"/>
    <w:tmpl w:val="00008E0F"/>
    <w:lvl w:ilvl="0" w:tplc="00002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FF0E"/>
    <w:multiLevelType w:val="hybridMultilevel"/>
    <w:tmpl w:val="0000686C"/>
    <w:lvl w:ilvl="0" w:tplc="000015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036C"/>
    <w:multiLevelType w:val="hybridMultilevel"/>
    <w:tmpl w:val="000180B2"/>
    <w:lvl w:ilvl="0" w:tplc="00001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1C4A"/>
    <w:multiLevelType w:val="hybridMultilevel"/>
    <w:tmpl w:val="00013952"/>
    <w:lvl w:ilvl="0" w:tplc="00001E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1C82"/>
    <w:multiLevelType w:val="hybridMultilevel"/>
    <w:tmpl w:val="0000496E"/>
    <w:lvl w:ilvl="0" w:tplc="00002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1FCA"/>
    <w:multiLevelType w:val="hybridMultilevel"/>
    <w:tmpl w:val="0000E791"/>
    <w:lvl w:ilvl="0" w:tplc="00001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3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3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3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1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6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20FA"/>
    <w:multiLevelType w:val="hybridMultilevel"/>
    <w:tmpl w:val="000169BA"/>
    <w:lvl w:ilvl="0" w:tplc="000013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0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23D2"/>
    <w:multiLevelType w:val="hybridMultilevel"/>
    <w:tmpl w:val="0000A548"/>
    <w:lvl w:ilvl="0" w:tplc="00000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31F6"/>
    <w:multiLevelType w:val="hybridMultilevel"/>
    <w:tmpl w:val="000139E8"/>
    <w:lvl w:ilvl="0" w:tplc="00001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2BC"/>
    <w:multiLevelType w:val="hybridMultilevel"/>
    <w:tmpl w:val="0000C2E4"/>
    <w:lvl w:ilvl="0" w:tplc="00000A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3587"/>
    <w:multiLevelType w:val="hybridMultilevel"/>
    <w:tmpl w:val="00013451"/>
    <w:lvl w:ilvl="0" w:tplc="000025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1412F"/>
    <w:multiLevelType w:val="hybridMultilevel"/>
    <w:tmpl w:val="00009183"/>
    <w:lvl w:ilvl="0" w:tplc="000025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4909"/>
    <w:multiLevelType w:val="hybridMultilevel"/>
    <w:tmpl w:val="00005D80"/>
    <w:lvl w:ilvl="0" w:tplc="000007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4916"/>
    <w:multiLevelType w:val="hybridMultilevel"/>
    <w:tmpl w:val="00017E1E"/>
    <w:lvl w:ilvl="0" w:tplc="00000A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4966"/>
    <w:multiLevelType w:val="hybridMultilevel"/>
    <w:tmpl w:val="00000F27"/>
    <w:lvl w:ilvl="0" w:tplc="000014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C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4CC9"/>
    <w:multiLevelType w:val="hybridMultilevel"/>
    <w:tmpl w:val="0000FDAD"/>
    <w:lvl w:ilvl="0" w:tplc="000006E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5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D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14EA6"/>
    <w:multiLevelType w:val="hybridMultilevel"/>
    <w:tmpl w:val="000100CC"/>
    <w:lvl w:ilvl="0" w:tplc="000008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5DA1"/>
    <w:multiLevelType w:val="hybridMultilevel"/>
    <w:tmpl w:val="00006B0B"/>
    <w:lvl w:ilvl="0" w:tplc="000026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6543"/>
    <w:multiLevelType w:val="hybridMultilevel"/>
    <w:tmpl w:val="00007455"/>
    <w:lvl w:ilvl="0" w:tplc="000010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6EB5"/>
    <w:multiLevelType w:val="hybridMultilevel"/>
    <w:tmpl w:val="000142C6"/>
    <w:lvl w:ilvl="0" w:tplc="000004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6"/>
  </w:num>
  <w:num w:numId="2">
    <w:abstractNumId w:val="4"/>
  </w:num>
  <w:num w:numId="3">
    <w:abstractNumId w:val="34"/>
  </w:num>
  <w:num w:numId="4">
    <w:abstractNumId w:val="12"/>
  </w:num>
  <w:num w:numId="5">
    <w:abstractNumId w:val="23"/>
  </w:num>
  <w:num w:numId="6">
    <w:abstractNumId w:val="20"/>
  </w:num>
  <w:num w:numId="7">
    <w:abstractNumId w:val="19"/>
  </w:num>
  <w:num w:numId="8">
    <w:abstractNumId w:val="1"/>
  </w:num>
  <w:num w:numId="9">
    <w:abstractNumId w:val="14"/>
  </w:num>
  <w:num w:numId="10">
    <w:abstractNumId w:val="45"/>
  </w:num>
  <w:num w:numId="11">
    <w:abstractNumId w:val="47"/>
  </w:num>
  <w:num w:numId="12">
    <w:abstractNumId w:val="17"/>
  </w:num>
  <w:num w:numId="13">
    <w:abstractNumId w:val="27"/>
  </w:num>
  <w:num w:numId="14">
    <w:abstractNumId w:val="52"/>
  </w:num>
  <w:num w:numId="15">
    <w:abstractNumId w:val="49"/>
  </w:num>
  <w:num w:numId="16">
    <w:abstractNumId w:val="21"/>
  </w:num>
  <w:num w:numId="17">
    <w:abstractNumId w:val="22"/>
  </w:num>
  <w:num w:numId="18">
    <w:abstractNumId w:val="7"/>
  </w:num>
  <w:num w:numId="19">
    <w:abstractNumId w:val="39"/>
  </w:num>
  <w:num w:numId="20">
    <w:abstractNumId w:val="50"/>
  </w:num>
  <w:num w:numId="21">
    <w:abstractNumId w:val="28"/>
  </w:num>
  <w:num w:numId="22">
    <w:abstractNumId w:val="41"/>
  </w:num>
  <w:num w:numId="23">
    <w:abstractNumId w:val="38"/>
  </w:num>
  <w:num w:numId="24">
    <w:abstractNumId w:val="32"/>
  </w:num>
  <w:num w:numId="25">
    <w:abstractNumId w:val="54"/>
  </w:num>
  <w:num w:numId="26">
    <w:abstractNumId w:val="15"/>
  </w:num>
  <w:num w:numId="27">
    <w:abstractNumId w:val="16"/>
  </w:num>
  <w:num w:numId="28">
    <w:abstractNumId w:val="51"/>
  </w:num>
  <w:num w:numId="29">
    <w:abstractNumId w:val="43"/>
  </w:num>
  <w:num w:numId="30">
    <w:abstractNumId w:val="58"/>
  </w:num>
  <w:num w:numId="31">
    <w:abstractNumId w:val="33"/>
  </w:num>
  <w:num w:numId="32">
    <w:abstractNumId w:val="35"/>
  </w:num>
  <w:num w:numId="33">
    <w:abstractNumId w:val="5"/>
  </w:num>
  <w:num w:numId="34">
    <w:abstractNumId w:val="53"/>
  </w:num>
  <w:num w:numId="35">
    <w:abstractNumId w:val="55"/>
  </w:num>
  <w:num w:numId="36">
    <w:abstractNumId w:val="2"/>
  </w:num>
  <w:num w:numId="37">
    <w:abstractNumId w:val="42"/>
  </w:num>
  <w:num w:numId="38">
    <w:abstractNumId w:val="25"/>
  </w:num>
  <w:num w:numId="39">
    <w:abstractNumId w:val="40"/>
  </w:num>
  <w:num w:numId="40">
    <w:abstractNumId w:val="37"/>
  </w:num>
  <w:num w:numId="41">
    <w:abstractNumId w:val="31"/>
  </w:num>
  <w:num w:numId="42">
    <w:abstractNumId w:val="57"/>
  </w:num>
  <w:num w:numId="43">
    <w:abstractNumId w:val="9"/>
  </w:num>
  <w:num w:numId="44">
    <w:abstractNumId w:val="46"/>
  </w:num>
  <w:num w:numId="45">
    <w:abstractNumId w:val="0"/>
  </w:num>
  <w:num w:numId="46">
    <w:abstractNumId w:val="8"/>
  </w:num>
  <w:num w:numId="47">
    <w:abstractNumId w:val="44"/>
  </w:num>
  <w:num w:numId="48">
    <w:abstractNumId w:val="29"/>
  </w:num>
  <w:num w:numId="49">
    <w:abstractNumId w:val="11"/>
  </w:num>
  <w:num w:numId="50">
    <w:abstractNumId w:val="10"/>
  </w:num>
  <w:num w:numId="51">
    <w:abstractNumId w:val="13"/>
  </w:num>
  <w:num w:numId="52">
    <w:abstractNumId w:val="48"/>
  </w:num>
  <w:num w:numId="53">
    <w:abstractNumId w:val="30"/>
  </w:num>
  <w:num w:numId="54">
    <w:abstractNumId w:val="36"/>
  </w:num>
  <w:num w:numId="55">
    <w:abstractNumId w:val="24"/>
  </w:num>
  <w:num w:numId="56">
    <w:abstractNumId w:val="26"/>
  </w:num>
  <w:num w:numId="57">
    <w:abstractNumId w:val="3"/>
  </w:num>
  <w:num w:numId="58">
    <w:abstractNumId w:val="6"/>
  </w:num>
  <w:num w:numId="59">
    <w:abstractNumId w:val="1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7DA3"/>
    <w:rsid w:val="009C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7968</Words>
  <Characters>45423</Characters>
  <Application>Microsoft Office Word</Application>
  <DocSecurity>4</DocSecurity>
  <Lines>378</Lines>
  <Paragraphs>106</Paragraphs>
  <ScaleCrop>false</ScaleCrop>
  <Company/>
  <LinksUpToDate>false</LinksUpToDate>
  <CharactersWithSpaces>53285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2016-03-28T13:34:00Z</dcterms:created>
  <dcterms:modified xsi:type="dcterms:W3CDTF">2016-03-28T13:34:00Z</dcterms:modified>
</cp:coreProperties>
</file>