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26E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-778510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F226E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F226E">
      <w:pPr>
        <w:widowControl w:val="0"/>
        <w:tabs>
          <w:tab w:val="left" w:pos="7145"/>
        </w:tabs>
        <w:autoSpaceDE w:val="0"/>
        <w:autoSpaceDN w:val="0"/>
        <w:adjustRightInd w:val="0"/>
        <w:spacing w:before="17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before="245"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14.07.2015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538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before="7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65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1786 </w:t>
      </w:r>
    </w:p>
    <w:p w:rsidR="00000000" w:rsidRDefault="008F226E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</w:t>
      </w:r>
      <w:r>
        <w:rPr>
          <w:rFonts w:ascii="Times New Roman" w:hAnsi="Times New Roman" w:cs="Times New Roman"/>
          <w:color w:val="000000"/>
          <w:sz w:val="28"/>
          <w:szCs w:val="24"/>
        </w:rPr>
        <w:t>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22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22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494" w:bottom="660" w:left="1419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330" w:lineRule="exact"/>
        <w:ind w:left="24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320" w:lineRule="exact"/>
        <w:ind w:left="794"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3" w:right="720" w:bottom="660" w:left="1419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303" w:space="796"/>
            <w:col w:w="4001" w:space="541"/>
            <w:col w:w="1673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78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160" w:space="939"/>
            <w:col w:w="6269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before="235" w:after="0" w:line="280" w:lineRule="exact"/>
        <w:ind w:right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before="235" w:after="0" w:line="277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</w:t>
      </w:r>
      <w:r>
        <w:rPr>
          <w:rFonts w:ascii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6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hAnsi="Times New Roman" w:cs="Times New Roman"/>
          <w:color w:val="000000"/>
          <w:sz w:val="24"/>
          <w:szCs w:val="24"/>
        </w:rPr>
        <w:t>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</w:t>
      </w:r>
      <w:r>
        <w:rPr>
          <w:rFonts w:ascii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01" w:space="98"/>
            <w:col w:w="6215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6" w:lineRule="exact"/>
        <w:ind w:left="3099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8" w:lineRule="exact"/>
        <w:ind w:left="3099" w:right="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9,7%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113;  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-124),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84,6%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13,  2015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 24).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85,4%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91,3%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89,5%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-2,  (-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50,0%).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 (-100,0%),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-3,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1).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3,9%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49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-51),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2,6% -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38,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250,0%.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25,0% - 3(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4).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83,3%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68,4%),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100,0%).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66,7%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2,  +  150,0%)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37,0%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27,5 2015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-17)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-16)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32" w:left="1419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30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0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40,0% - 3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-5).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(+76,0%),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(+27,8%;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46).  </w:t>
      </w:r>
    </w:p>
    <w:p w:rsidR="00000000" w:rsidRDefault="008F22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3325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3234, +2,8%),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1992  (2014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-1912,  +4,2%.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44,6%.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3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F2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3078" w:right="4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3078" w:right="4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37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8F2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5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6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ъективных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07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5" w:lineRule="exact"/>
        <w:ind w:left="3078" w:right="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3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left="3078" w:right="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left="3078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41" w:left="1440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(2015-2016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tabs>
          <w:tab w:val="left" w:pos="313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6" w:lineRule="exact"/>
        <w:ind w:left="3099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5" w:lineRule="exact"/>
        <w:ind w:left="3099" w:right="3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586" w:left="1419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383687,26 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36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137948,56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 165738,70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8F22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41" w:space="158"/>
            <w:col w:w="6213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75" w:lineRule="exact"/>
        <w:ind w:left="3099" w:right="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099" w:right="4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0" w:lineRule="exact"/>
        <w:ind w:left="3099"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09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099" w:right="4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09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00000" w:rsidRDefault="008F2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099"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60" w:left="1419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238" w:space="504"/>
            <w:col w:w="557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3099" w:right="4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3099" w:righ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F2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3099" w:right="4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41" w:space="158"/>
            <w:col w:w="6211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85" w:lineRule="exact"/>
        <w:ind w:left="11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3" w:lineRule="exact"/>
        <w:ind w:left="11178" w:right="66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226E">
      <w:pPr>
        <w:widowControl w:val="0"/>
        <w:tabs>
          <w:tab w:val="left" w:pos="13254"/>
        </w:tabs>
        <w:autoSpaceDE w:val="0"/>
        <w:autoSpaceDN w:val="0"/>
        <w:adjustRightInd w:val="0"/>
        <w:spacing w:after="0" w:line="275" w:lineRule="exact"/>
        <w:ind w:left="11178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315" w:lineRule="exact"/>
        <w:ind w:left="56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numPr>
          <w:ilvl w:val="0"/>
          <w:numId w:val="13"/>
        </w:numPr>
        <w:tabs>
          <w:tab w:val="left" w:pos="13984"/>
        </w:tabs>
        <w:autoSpaceDE w:val="0"/>
        <w:autoSpaceDN w:val="0"/>
        <w:adjustRightInd w:val="0"/>
        <w:spacing w:before="25" w:after="0" w:line="315" w:lineRule="exact"/>
        <w:ind w:left="1270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tabs>
          <w:tab w:val="left" w:pos="10577"/>
        </w:tabs>
        <w:autoSpaceDE w:val="0"/>
        <w:autoSpaceDN w:val="0"/>
        <w:adjustRightInd w:val="0"/>
        <w:spacing w:before="5" w:after="0" w:line="315" w:lineRule="exact"/>
        <w:ind w:left="52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656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tabs>
          <w:tab w:val="left" w:pos="24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6" w:space="720" w:equalWidth="0">
            <w:col w:w="333" w:space="656"/>
            <w:col w:w="2433" w:space="869"/>
            <w:col w:w="1046" w:space="6087"/>
            <w:col w:w="1543" w:space="647"/>
            <w:col w:w="196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32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</w:t>
      </w:r>
      <w:r>
        <w:rPr>
          <w:rFonts w:ascii="Times New Roman" w:hAnsi="Times New Roman" w:cs="Times New Roman"/>
          <w:color w:val="000000"/>
          <w:sz w:val="20"/>
          <w:szCs w:val="24"/>
        </w:rPr>
        <w:t>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tabs>
          <w:tab w:val="left" w:pos="4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7" w:space="720" w:equalWidth="0">
            <w:col w:w="7864" w:space="311"/>
            <w:col w:w="422" w:space="563"/>
            <w:col w:w="446" w:space="843"/>
            <w:col w:w="439" w:space="2149"/>
            <w:col w:w="50" w:space="2213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numPr>
          <w:ilvl w:val="0"/>
          <w:numId w:val="14"/>
        </w:numPr>
        <w:tabs>
          <w:tab w:val="left" w:pos="1975"/>
          <w:tab w:val="left" w:pos="6468"/>
          <w:tab w:val="left" w:pos="8410"/>
          <w:tab w:val="left" w:pos="9401"/>
          <w:tab w:val="left" w:pos="10729"/>
          <w:tab w:val="left" w:pos="12166"/>
          <w:tab w:val="left" w:pos="14500"/>
        </w:tabs>
        <w:autoSpaceDE w:val="0"/>
        <w:autoSpaceDN w:val="0"/>
        <w:adjustRightInd w:val="0"/>
        <w:spacing w:after="0" w:line="225" w:lineRule="exact"/>
        <w:ind w:left="35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2 3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9 </w:t>
      </w:r>
    </w:p>
    <w:p w:rsidR="00000000" w:rsidRDefault="008F226E">
      <w:pPr>
        <w:widowControl w:val="0"/>
        <w:tabs>
          <w:tab w:val="left" w:pos="10436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</w:t>
      </w:r>
      <w:r>
        <w:rPr>
          <w:rFonts w:ascii="Times New Roman" w:hAnsi="Times New Roman" w:cs="Times New Roman"/>
          <w:color w:val="4F4F4F"/>
          <w:sz w:val="20"/>
          <w:szCs w:val="24"/>
        </w:rPr>
        <w:t>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space="720" w:equalWidth="0">
            <w:col w:w="1557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2"/>
        <w:gridCol w:w="1123"/>
        <w:gridCol w:w="2199"/>
        <w:gridCol w:w="1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59" w:bottom="660" w:left="646" w:header="0" w:footer="0" w:gutter="0"/>
          <w:cols w:space="720"/>
          <w:noEndnote/>
        </w:sectPr>
      </w:pPr>
    </w:p>
    <w:p w:rsidR="00000000" w:rsidRDefault="008F226E">
      <w:pPr>
        <w:widowControl w:val="0"/>
        <w:tabs>
          <w:tab w:val="left" w:pos="539"/>
        </w:tabs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9" w:bottom="720" w:left="646" w:header="720" w:footer="720" w:gutter="0"/>
          <w:cols w:num="9" w:space="720" w:equalWidth="0">
            <w:col w:w="3940" w:space="304"/>
            <w:col w:w="1370" w:space="416"/>
            <w:col w:w="50" w:space="1899"/>
            <w:col w:w="50" w:space="1083"/>
            <w:col w:w="50" w:space="1093"/>
            <w:col w:w="50" w:space="1073"/>
            <w:col w:w="2082" w:space="117"/>
            <w:col w:w="1832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3"/>
        <w:gridCol w:w="1123"/>
        <w:gridCol w:w="2199"/>
        <w:gridCol w:w="1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</w:t>
      </w:r>
      <w:r>
        <w:rPr>
          <w:rFonts w:ascii="Times New Roman" w:hAnsi="Times New Roman" w:cs="Times New Roman"/>
          <w:color w:val="000000"/>
          <w:sz w:val="20"/>
          <w:szCs w:val="24"/>
        </w:rPr>
        <w:t>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0"/>
          <w:szCs w:val="24"/>
        </w:rPr>
        <w:t>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0" w:bottom="720" w:left="607" w:header="720" w:footer="720" w:gutter="0"/>
          <w:cols w:num="9" w:space="720" w:equalWidth="0">
            <w:col w:w="3783" w:space="470"/>
            <w:col w:w="1339" w:space="505"/>
            <w:col w:w="50" w:space="1791"/>
            <w:col w:w="50" w:space="1227"/>
            <w:col w:w="50" w:space="1085"/>
            <w:col w:w="50" w:space="1083"/>
            <w:col w:w="1732" w:space="400"/>
            <w:col w:w="185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6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испытывающих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0"/>
          <w:szCs w:val="24"/>
        </w:rPr>
        <w:t>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0" w:lineRule="exact"/>
        <w:ind w:left="0" w:right="25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</w:t>
      </w:r>
      <w:r>
        <w:rPr>
          <w:rFonts w:ascii="Times New Roman" w:hAnsi="Times New Roman" w:cs="Times New Roman"/>
          <w:color w:val="000000"/>
          <w:sz w:val="20"/>
          <w:szCs w:val="24"/>
        </w:rPr>
        <w:t>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num="9" w:space="720" w:equalWidth="0">
            <w:col w:w="3909" w:space="344"/>
            <w:col w:w="1385" w:space="459"/>
            <w:col w:w="50" w:space="1791"/>
            <w:col w:w="50" w:space="1227"/>
            <w:col w:w="50" w:space="1085"/>
            <w:col w:w="50" w:space="1083"/>
            <w:col w:w="1800" w:space="332"/>
            <w:col w:w="193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space="720" w:equalWidth="0">
            <w:col w:w="1554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магистральных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4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33" w:lineRule="exact"/>
        <w:ind w:right="6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left="566" w:right="42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декриминализацию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езаконного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),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4" w:bottom="720" w:left="607" w:header="720" w:footer="720" w:gutter="0"/>
          <w:cols w:num="9" w:space="720" w:equalWidth="0">
            <w:col w:w="3890" w:space="364"/>
            <w:col w:w="1385" w:space="459"/>
            <w:col w:w="50" w:space="1791"/>
            <w:col w:w="50" w:space="1227"/>
            <w:col w:w="50" w:space="1085"/>
            <w:col w:w="50" w:space="1083"/>
            <w:col w:w="1821" w:space="310"/>
            <w:col w:w="17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07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11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exact"/>
        <w:ind w:left="566" w:right="2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4" w:bottom="720" w:left="607" w:header="720" w:footer="720" w:gutter="0"/>
          <w:cols w:num="9" w:space="720" w:equalWidth="0">
            <w:col w:w="3936" w:space="317"/>
            <w:col w:w="1385" w:space="459"/>
            <w:col w:w="50" w:space="1791"/>
            <w:col w:w="50" w:space="1227"/>
            <w:col w:w="50" w:space="1085"/>
            <w:col w:w="50" w:space="1083"/>
            <w:col w:w="1474" w:space="658"/>
            <w:col w:w="19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Народная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дружина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дежды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удостоверениями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1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25000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1" w:bottom="720" w:left="607" w:header="720" w:footer="720" w:gutter="0"/>
          <w:cols w:num="9" w:space="720" w:equalWidth="0">
            <w:col w:w="2150" w:space="2103"/>
            <w:col w:w="1385" w:space="459"/>
            <w:col w:w="50" w:space="1791"/>
            <w:col w:w="50" w:space="1227"/>
            <w:col w:w="50" w:space="1085"/>
            <w:col w:w="549" w:space="584"/>
            <w:col w:w="50" w:space="2082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1" w:bottom="720" w:left="607" w:header="720" w:footer="720" w:gutter="0"/>
          <w:cols w:space="720" w:equalWidth="0">
            <w:col w:w="155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22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2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65" w:bottom="660" w:left="607" w:header="0" w:footer="0" w:gutter="0"/>
          <w:cols w:space="720"/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9.1.  </w:t>
      </w:r>
      <w:r>
        <w:rPr>
          <w:rFonts w:ascii="Times New Roman" w:hAnsi="Times New Roman" w:cs="Times New Roman"/>
          <w:color w:val="000000"/>
          <w:sz w:val="20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left="566" w:right="5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оргтехникой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комп</w:t>
      </w:r>
      <w:r>
        <w:rPr>
          <w:rFonts w:ascii="Times New Roman" w:hAnsi="Times New Roman" w:cs="Times New Roman"/>
          <w:color w:val="000000"/>
          <w:sz w:val="20"/>
          <w:szCs w:val="24"/>
        </w:rPr>
        <w:t>ьютер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принтер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ксерокс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реагирование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607" w:header="720" w:footer="720" w:gutter="0"/>
          <w:cols w:num="9" w:space="720" w:equalWidth="0">
            <w:col w:w="3777" w:space="334"/>
            <w:col w:w="1385" w:space="601"/>
            <w:col w:w="50" w:space="1791"/>
            <w:col w:w="50" w:space="1227"/>
            <w:col w:w="50" w:space="1227"/>
            <w:col w:w="50" w:space="941"/>
            <w:col w:w="1793" w:space="339"/>
            <w:col w:w="1849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9.2. 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стационарными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видеоконтроля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выводом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мониторов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137948,56  70000,00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20000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7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видеоконтроля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607" w:header="720" w:footer="720" w:gutter="0"/>
          <w:cols w:num="8" w:space="720" w:equalWidth="0">
            <w:col w:w="3386" w:space="726"/>
            <w:col w:w="1385" w:space="601"/>
            <w:col w:w="50" w:space="1791"/>
            <w:col w:w="2078" w:space="476"/>
            <w:col w:w="549" w:space="442"/>
            <w:col w:w="1795" w:space="337"/>
            <w:col w:w="1951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05" w:bottom="660" w:left="56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30" w:lineRule="exact"/>
        <w:ind w:left="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9.3  </w:t>
      </w:r>
      <w:r>
        <w:rPr>
          <w:rFonts w:ascii="Times New Roman" w:hAnsi="Times New Roman" w:cs="Times New Roman"/>
          <w:color w:val="000000"/>
          <w:sz w:val="20"/>
          <w:szCs w:val="24"/>
        </w:rPr>
        <w:t>Погашение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кредиторской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93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29.12.2014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exact"/>
        <w:ind w:left="607" w:right="31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видеонаблюдения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95738,70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5" w:bottom="720" w:left="566" w:header="720" w:footer="720" w:gutter="0"/>
          <w:cols w:num="6" w:space="720" w:equalWidth="0">
            <w:col w:w="3711" w:space="5544"/>
            <w:col w:w="801" w:space="476"/>
            <w:col w:w="50" w:space="941"/>
            <w:col w:w="50" w:space="2082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tabs>
          <w:tab w:val="left" w:pos="8019"/>
        </w:tabs>
        <w:autoSpaceDE w:val="0"/>
        <w:autoSpaceDN w:val="0"/>
        <w:adjustRightInd w:val="0"/>
        <w:spacing w:after="0" w:line="225" w:lineRule="exact"/>
        <w:ind w:left="6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137948,56  165738,70  20000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5" w:bottom="720" w:left="566" w:header="720" w:footer="720" w:gutter="0"/>
          <w:cols w:space="720" w:equalWidth="0">
            <w:col w:w="15667"/>
          </w:cols>
          <w:noEndnote/>
        </w:sectPr>
      </w:pPr>
    </w:p>
    <w:p w:rsidR="00000000" w:rsidRDefault="008F22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607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5" w:bottom="720" w:left="566" w:header="720" w:footer="720" w:gutter="0"/>
          <w:cols w:num="9" w:space="720" w:equalWidth="0">
            <w:col w:w="1745" w:space="2408"/>
            <w:col w:w="50" w:space="1936"/>
            <w:col w:w="50" w:space="1791"/>
            <w:col w:w="50" w:space="1227"/>
            <w:col w:w="50" w:space="1227"/>
            <w:col w:w="50" w:space="941"/>
            <w:col w:w="50" w:space="2082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left="6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383687,26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137948,56  165738,70  80000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5" w:bottom="720" w:left="566" w:header="720" w:footer="720" w:gutter="0"/>
          <w:cols w:num="7" w:space="720" w:equalWidth="0">
            <w:col w:w="2469" w:space="1683"/>
            <w:col w:w="50" w:space="1936"/>
            <w:col w:w="899" w:space="941"/>
            <w:col w:w="3103" w:space="442"/>
            <w:col w:w="50" w:space="2082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left="607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5" w:bottom="720" w:left="566" w:header="720" w:footer="720" w:gutter="0"/>
          <w:cols w:num="9" w:space="720" w:equalWidth="0">
            <w:col w:w="1745" w:space="2408"/>
            <w:col w:w="50" w:space="1936"/>
            <w:col w:w="50" w:space="1791"/>
            <w:col w:w="50" w:space="1227"/>
            <w:col w:w="50" w:space="1227"/>
            <w:col w:w="50" w:space="941"/>
            <w:col w:w="50" w:space="2082"/>
            <w:col w:w="50" w:space="0"/>
            <w:col w:w="-1"/>
          </w:cols>
          <w:noEndnote/>
        </w:sectPr>
      </w:pPr>
    </w:p>
    <w:p w:rsidR="00000000" w:rsidRDefault="008F226E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05" w:bottom="720" w:left="566" w:header="720" w:footer="720" w:gutter="0"/>
      <w:cols w:space="720" w:equalWidth="0">
        <w:col w:w="156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98"/>
    <w:multiLevelType w:val="hybridMultilevel"/>
    <w:tmpl w:val="000153F7"/>
    <w:lvl w:ilvl="0" w:tplc="000022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4B"/>
    <w:multiLevelType w:val="hybridMultilevel"/>
    <w:tmpl w:val="0000A08E"/>
    <w:lvl w:ilvl="0" w:tplc="000007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D15"/>
    <w:multiLevelType w:val="hybridMultilevel"/>
    <w:tmpl w:val="00014FDC"/>
    <w:lvl w:ilvl="0" w:tplc="00002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8C1"/>
    <w:multiLevelType w:val="hybridMultilevel"/>
    <w:tmpl w:val="00001757"/>
    <w:lvl w:ilvl="0" w:tplc="00000B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29E"/>
    <w:multiLevelType w:val="hybridMultilevel"/>
    <w:tmpl w:val="00010F17"/>
    <w:lvl w:ilvl="0" w:tplc="000004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488"/>
    <w:multiLevelType w:val="hybridMultilevel"/>
    <w:tmpl w:val="00001D84"/>
    <w:lvl w:ilvl="0" w:tplc="00000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5C4"/>
    <w:multiLevelType w:val="hybridMultilevel"/>
    <w:tmpl w:val="00006104"/>
    <w:lvl w:ilvl="0" w:tplc="00001B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6D3"/>
    <w:multiLevelType w:val="hybridMultilevel"/>
    <w:tmpl w:val="00011543"/>
    <w:lvl w:ilvl="0" w:tplc="000012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8E7"/>
    <w:multiLevelType w:val="hybridMultilevel"/>
    <w:tmpl w:val="00005D9B"/>
    <w:lvl w:ilvl="0" w:tplc="00000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C53"/>
    <w:multiLevelType w:val="hybridMultilevel"/>
    <w:tmpl w:val="00011811"/>
    <w:lvl w:ilvl="0" w:tplc="000014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2DF"/>
    <w:multiLevelType w:val="hybridMultilevel"/>
    <w:tmpl w:val="0000C480"/>
    <w:lvl w:ilvl="0" w:tplc="00002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F318"/>
    <w:multiLevelType w:val="hybridMultilevel"/>
    <w:tmpl w:val="0001258E"/>
    <w:lvl w:ilvl="0" w:tplc="000007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FE6"/>
    <w:multiLevelType w:val="hybridMultilevel"/>
    <w:tmpl w:val="0000C1F6"/>
    <w:lvl w:ilvl="0" w:tplc="00001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169F"/>
    <w:multiLevelType w:val="hybridMultilevel"/>
    <w:tmpl w:val="000124CF"/>
    <w:lvl w:ilvl="0" w:tplc="000010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28F8"/>
    <w:multiLevelType w:val="hybridMultilevel"/>
    <w:tmpl w:val="00003AAE"/>
    <w:lvl w:ilvl="0" w:tplc="00001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14F"/>
    <w:multiLevelType w:val="hybridMultilevel"/>
    <w:tmpl w:val="00002C31"/>
    <w:lvl w:ilvl="0" w:tplc="000011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41AC"/>
    <w:multiLevelType w:val="hybridMultilevel"/>
    <w:tmpl w:val="00001C95"/>
    <w:lvl w:ilvl="0" w:tplc="00001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226E"/>
    <w:rsid w:val="008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4911</Words>
  <Characters>27994</Characters>
  <Application>Microsoft Office Word</Application>
  <DocSecurity>4</DocSecurity>
  <Lines>233</Lines>
  <Paragraphs>65</Paragraphs>
  <ScaleCrop>false</ScaleCrop>
  <Company/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