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-782320</wp:posOffset>
            </wp:positionV>
            <wp:extent cx="54292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before="15" w:after="0" w:line="300" w:lineRule="exact"/>
        <w:ind w:left="1604" w:right="1602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tabs>
          <w:tab w:val="left" w:pos="7124"/>
        </w:tabs>
        <w:autoSpaceDE w:val="0"/>
        <w:autoSpaceDN w:val="0"/>
        <w:adjustRightInd w:val="0"/>
        <w:spacing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ab/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99" w:right="406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autoSpaceDE w:val="0"/>
        <w:autoSpaceDN w:val="0"/>
        <w:adjustRightInd w:val="0"/>
        <w:spacing w:after="0" w:line="345" w:lineRule="exact"/>
        <w:ind w:left="183" w:right="-30"/>
        <w:rPr>
          <w:rFonts w:ascii="Calibri" w:hAnsi="Calibri" w:cs="Times New Roman"/>
          <w:color w:val="000000"/>
          <w:sz w:val="28"/>
          <w:szCs w:val="24"/>
        </w:rPr>
      </w:pPr>
      <w:r>
        <w:rPr>
          <w:rFonts w:ascii="Calibri" w:hAnsi="Calibri" w:cs="Times New Roman"/>
          <w:color w:val="000000"/>
          <w:sz w:val="28"/>
          <w:szCs w:val="24"/>
        </w:rPr>
        <w:lastRenderedPageBreak/>
        <w:t>от</w:t>
      </w:r>
      <w:r>
        <w:rPr>
          <w:rFonts w:ascii="Calibri" w:hAnsi="Calibri" w:cs="Times New Roman"/>
          <w:color w:val="000000"/>
          <w:sz w:val="28"/>
          <w:szCs w:val="24"/>
        </w:rPr>
        <w:t xml:space="preserve">  02.06.2014   </w:t>
      </w:r>
      <w:r>
        <w:rPr>
          <w:rFonts w:ascii="Calibri" w:hAnsi="Calibri" w:cs="Times New Roman"/>
          <w:color w:val="000000"/>
          <w:sz w:val="28"/>
          <w:szCs w:val="24"/>
        </w:rPr>
        <w:t>№</w:t>
      </w:r>
      <w:r>
        <w:rPr>
          <w:rFonts w:ascii="Calibri" w:hAnsi="Calibri" w:cs="Times New Roman"/>
          <w:color w:val="000000"/>
          <w:sz w:val="28"/>
          <w:szCs w:val="24"/>
        </w:rPr>
        <w:t xml:space="preserve">  533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06" w:bottom="720" w:left="1440" w:header="720" w:footer="720" w:gutter="0"/>
          <w:cols w:num="3" w:space="720" w:equalWidth="0">
            <w:col w:w="4161" w:space="340"/>
            <w:col w:w="1070" w:space="0"/>
            <w:col w:w="-1"/>
          </w:cols>
          <w:noEndnote/>
        </w:sectPr>
      </w:pPr>
    </w:p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внутреннем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финансовом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5" w:after="0" w:line="320" w:lineRule="exact"/>
        <w:ind w:left="262" w:right="3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26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.4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29.01.2014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426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наделении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»»,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20" w:lineRule="exact"/>
        <w:ind w:left="262" w:right="85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Утве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рдить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Положение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внутреннем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финансовом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2.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55" w:lineRule="exact"/>
        <w:ind w:left="262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Иванова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Т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П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5" w:lineRule="exact"/>
        <w:ind w:left="262" w:right="-3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04 51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06" w:bottom="720" w:left="1440" w:header="720" w:footer="720" w:gutter="0"/>
          <w:cols w:space="720" w:equalWidth="0">
            <w:col w:w="10061"/>
          </w:cols>
          <w:noEndnote/>
        </w:sectPr>
      </w:pPr>
    </w:p>
    <w:p w:rsidR="00000000" w:rsidRDefault="00CF7998">
      <w:pPr>
        <w:widowControl w:val="0"/>
        <w:autoSpaceDE w:val="0"/>
        <w:autoSpaceDN w:val="0"/>
        <w:adjustRightInd w:val="0"/>
        <w:spacing w:after="0" w:line="280" w:lineRule="exact"/>
        <w:ind w:left="5651" w:right="8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85" w:lineRule="exact"/>
        <w:ind w:left="565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02.06.2014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533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396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341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ВНУТРЕННЕМ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ФИНАНСОВОМ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КОНТРОЛЕ</w:t>
      </w:r>
    </w:p>
    <w:p w:rsidR="00000000" w:rsidRDefault="00CF79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2396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50" w:after="0" w:line="330" w:lineRule="exact"/>
        <w:ind w:left="3411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65" w:after="0" w:line="323" w:lineRule="exact"/>
        <w:ind w:left="262" w:right="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</w:t>
      </w:r>
      <w:r>
        <w:rPr>
          <w:rFonts w:ascii="Times New Roman" w:hAnsi="Times New Roman" w:cs="Times New Roman"/>
          <w:color w:val="000000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F79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объективнос</w:t>
      </w:r>
      <w:r>
        <w:rPr>
          <w:rFonts w:ascii="Times New Roman" w:hAnsi="Times New Roman" w:cs="Times New Roman"/>
          <w:color w:val="000000"/>
          <w:sz w:val="28"/>
          <w:szCs w:val="24"/>
        </w:rPr>
        <w:t>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независимости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компетентности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достоверности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>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262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>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поручений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CF799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</w:t>
      </w:r>
    </w:p>
    <w:p w:rsidR="00000000" w:rsidRDefault="00CF799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>".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объединения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жалобой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бездействие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управляющего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</w:t>
      </w:r>
      <w:r>
        <w:rPr>
          <w:rFonts w:ascii="Times New Roman" w:hAnsi="Times New Roman" w:cs="Times New Roman"/>
          <w:color w:val="000000"/>
          <w:sz w:val="28"/>
          <w:szCs w:val="24"/>
        </w:rPr>
        <w:t>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6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". </w:t>
      </w:r>
    </w:p>
    <w:p w:rsidR="00000000" w:rsidRDefault="00CF79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4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ункций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7" w:right="71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5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</w:t>
      </w:r>
      <w:r>
        <w:rPr>
          <w:rFonts w:ascii="Times New Roman" w:hAnsi="Times New Roman" w:cs="Times New Roman"/>
          <w:color w:val="000000"/>
          <w:sz w:val="28"/>
          <w:szCs w:val="24"/>
        </w:rPr>
        <w:t>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99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44-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"; </w:t>
      </w:r>
    </w:p>
    <w:p w:rsidR="00000000" w:rsidRDefault="00CF79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32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4"/>
        </w:rPr>
        <w:t>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2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99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". </w:t>
      </w:r>
    </w:p>
    <w:p w:rsidR="00000000" w:rsidRDefault="00CF79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2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</w:t>
      </w:r>
      <w:r>
        <w:rPr>
          <w:rFonts w:ascii="Times New Roman" w:hAnsi="Times New Roman" w:cs="Times New Roman"/>
          <w:color w:val="000000"/>
          <w:sz w:val="28"/>
          <w:szCs w:val="24"/>
        </w:rPr>
        <w:t>ниципальный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266.1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</w:t>
      </w:r>
      <w:r>
        <w:rPr>
          <w:rFonts w:ascii="Times New Roman" w:hAnsi="Times New Roman" w:cs="Times New Roman"/>
          <w:color w:val="000000"/>
          <w:sz w:val="28"/>
          <w:szCs w:val="24"/>
        </w:rPr>
        <w:t>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99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</w:t>
      </w:r>
      <w:r>
        <w:rPr>
          <w:rFonts w:ascii="Times New Roman" w:hAnsi="Times New Roman" w:cs="Times New Roman"/>
          <w:color w:val="000000"/>
          <w:sz w:val="28"/>
          <w:szCs w:val="24"/>
        </w:rPr>
        <w:t>вому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F79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F79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3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себя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CF79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штатным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расписанием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инструкциями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2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объяснения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</w:t>
      </w:r>
      <w:r>
        <w:rPr>
          <w:rFonts w:ascii="Times New Roman" w:hAnsi="Times New Roman" w:cs="Times New Roman"/>
          <w:color w:val="000000"/>
          <w:sz w:val="28"/>
          <w:szCs w:val="24"/>
        </w:rPr>
        <w:t>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аудита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знакомиться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касающимися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охраняемую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5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знакомиться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касающейся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</w:t>
      </w:r>
      <w:r>
        <w:rPr>
          <w:rFonts w:ascii="Times New Roman" w:hAnsi="Times New Roman" w:cs="Times New Roman"/>
          <w:color w:val="000000"/>
          <w:sz w:val="28"/>
          <w:szCs w:val="24"/>
        </w:rPr>
        <w:t>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хранящейся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базах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охраняемую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6" w:right="72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знакомиться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</w:t>
      </w:r>
      <w:r>
        <w:rPr>
          <w:rFonts w:ascii="Times New Roman" w:hAnsi="Times New Roman" w:cs="Times New Roman"/>
          <w:color w:val="000000"/>
          <w:sz w:val="28"/>
          <w:szCs w:val="24"/>
        </w:rPr>
        <w:t>нической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базам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3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беспрепятственно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посещать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занимают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независимых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ыдавать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направлять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принуждения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7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своевременно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пресечению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достоверно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4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знакомить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возобновлении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F799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</w:t>
      </w:r>
      <w:r>
        <w:rPr>
          <w:rFonts w:ascii="Times New Roman" w:hAnsi="Times New Roman" w:cs="Times New Roman"/>
          <w:color w:val="000000"/>
          <w:sz w:val="28"/>
          <w:szCs w:val="24"/>
        </w:rPr>
        <w:t>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,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достоверность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объективность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охраняемой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тайны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5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</w:t>
      </w:r>
      <w:r>
        <w:rPr>
          <w:rFonts w:ascii="Times New Roman" w:hAnsi="Times New Roman" w:cs="Times New Roman"/>
          <w:color w:val="000000"/>
          <w:sz w:val="28"/>
          <w:szCs w:val="24"/>
        </w:rPr>
        <w:t>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оргтехнику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адресатом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</w:t>
      </w:r>
      <w:r>
        <w:rPr>
          <w:rFonts w:ascii="Times New Roman" w:hAnsi="Times New Roman" w:cs="Times New Roman"/>
          <w:color w:val="000000"/>
          <w:sz w:val="28"/>
          <w:szCs w:val="24"/>
        </w:rPr>
        <w:t>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автоматизированных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исчисляется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устанавливаемый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6" w:right="72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подлиннике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5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>лжностными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приобщаются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учитываются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автоматизированной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ешение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)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262" w:right="29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ревизий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before="170" w:after="0" w:line="330" w:lineRule="exact"/>
        <w:ind w:left="138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Требования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планированию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65"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равномерности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нагрузки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предыдущих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262" w:right="32" w:firstLine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периодичности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4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учитывается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существляемых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предполагается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прошедший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идентичного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5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поступившей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распорядителями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CF79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текущего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145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III.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Требования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исполнению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65"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процедурам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относятся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проверяемый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последующем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</w:t>
      </w:r>
      <w:r>
        <w:rPr>
          <w:rFonts w:ascii="Times New Roman" w:hAnsi="Times New Roman" w:cs="Times New Roman"/>
          <w:color w:val="000000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изучению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4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>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прерывается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возобновлении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</w:t>
      </w:r>
      <w:r>
        <w:rPr>
          <w:rFonts w:ascii="Times New Roman" w:hAnsi="Times New Roman" w:cs="Times New Roman"/>
          <w:color w:val="000000"/>
          <w:sz w:val="28"/>
          <w:szCs w:val="24"/>
        </w:rPr>
        <w:t>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приостановлении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возобновлении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before="290" w:after="0" w:line="330" w:lineRule="exact"/>
        <w:ind w:left="285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IV.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85"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3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экспертизы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аудио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приборов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измерительных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приборов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</w:t>
      </w:r>
      <w:r>
        <w:rPr>
          <w:rFonts w:ascii="Times New Roman" w:hAnsi="Times New Roman" w:cs="Times New Roman"/>
          <w:color w:val="000000"/>
          <w:sz w:val="28"/>
          <w:szCs w:val="24"/>
        </w:rPr>
        <w:t>мляются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50" w:after="0" w:line="330" w:lineRule="exact"/>
        <w:ind w:left="2291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камеральной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65" w:after="0" w:line="33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исследовании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тридцать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3" w:right="72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8"/>
          <w:szCs w:val="24"/>
        </w:rPr>
        <w:t>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65" w:after="0" w:line="33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засчитываются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отправки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</w:t>
      </w:r>
      <w:r>
        <w:rPr>
          <w:rFonts w:ascii="Times New Roman" w:hAnsi="Times New Roman" w:cs="Times New Roman"/>
          <w:color w:val="000000"/>
          <w:sz w:val="28"/>
          <w:szCs w:val="24"/>
        </w:rPr>
        <w:t>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камеральной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оформляются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актом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который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>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камеральной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приобщаются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before="150" w:after="0" w:line="330" w:lineRule="exact"/>
        <w:ind w:left="292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VI.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CF79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продлить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</w:t>
      </w:r>
      <w:r>
        <w:rPr>
          <w:rFonts w:ascii="Times New Roman" w:hAnsi="Times New Roman" w:cs="Times New Roman"/>
          <w:color w:val="000000"/>
          <w:sz w:val="28"/>
          <w:szCs w:val="24"/>
        </w:rPr>
        <w:t>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двадцати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несвоевременного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</w:t>
      </w:r>
      <w:r>
        <w:rPr>
          <w:rFonts w:ascii="Times New Roman" w:hAnsi="Times New Roman" w:cs="Times New Roman"/>
          <w:color w:val="000000"/>
          <w:sz w:val="28"/>
          <w:szCs w:val="24"/>
        </w:rPr>
        <w:t>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запрошенных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хронологию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событий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2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подделок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подлогов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хищений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злоупотреблений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>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пресечения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противоправных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изымает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оставляя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изъятия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>ъятых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преступлений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опечатывает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кассы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кассовые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склады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изъятия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.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22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выездных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изучению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изучению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>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объяснениям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спра</w:t>
      </w:r>
      <w:r>
        <w:rPr>
          <w:rFonts w:ascii="Times New Roman" w:hAnsi="Times New Roman" w:cs="Times New Roman"/>
          <w:color w:val="000000"/>
          <w:sz w:val="28"/>
          <w:szCs w:val="24"/>
        </w:rPr>
        <w:t>вкам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изучению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осмотра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инвентаризации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экспертизы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кон</w:t>
      </w:r>
      <w:r>
        <w:rPr>
          <w:rFonts w:ascii="Times New Roman" w:hAnsi="Times New Roman" w:cs="Times New Roman"/>
          <w:color w:val="000000"/>
          <w:sz w:val="28"/>
          <w:szCs w:val="24"/>
        </w:rPr>
        <w:t>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Выездная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проверка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приостановлена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F79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неудовлетворительном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</w:t>
      </w:r>
      <w:r>
        <w:rPr>
          <w:rFonts w:ascii="Times New Roman" w:hAnsi="Times New Roman" w:cs="Times New Roman"/>
          <w:color w:val="000000"/>
          <w:sz w:val="28"/>
          <w:szCs w:val="24"/>
        </w:rPr>
        <w:t>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надлежащее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исследований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экспертиз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F79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0" w:lineRule="exact"/>
        <w:ind w:left="262" w:right="29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требуемых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20" w:lineRule="exact"/>
        <w:ind w:left="262" w:right="3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воспрепятствовании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уклонению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3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обстоя</w:t>
      </w:r>
      <w:r>
        <w:rPr>
          <w:rFonts w:ascii="Times New Roman" w:hAnsi="Times New Roman" w:cs="Times New Roman"/>
          <w:color w:val="000000"/>
          <w:sz w:val="28"/>
          <w:szCs w:val="24"/>
        </w:rPr>
        <w:t>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невозможным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дальнейшее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независящим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прерывается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</w:t>
      </w:r>
      <w:r>
        <w:rPr>
          <w:rFonts w:ascii="Times New Roman" w:hAnsi="Times New Roman" w:cs="Times New Roman"/>
          <w:color w:val="000000"/>
          <w:sz w:val="28"/>
          <w:szCs w:val="24"/>
        </w:rPr>
        <w:t>тановлении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извещает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</w:p>
    <w:p w:rsidR="00000000" w:rsidRDefault="00CF799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F799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способствующие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возобновлению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препятствий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возобновлении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</w:t>
      </w:r>
      <w:r>
        <w:rPr>
          <w:rFonts w:ascii="Times New Roman" w:hAnsi="Times New Roman" w:cs="Times New Roman"/>
          <w:color w:val="000000"/>
          <w:sz w:val="28"/>
          <w:szCs w:val="24"/>
        </w:rPr>
        <w:t>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6" w:right="72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20" w:lineRule="exact"/>
        <w:ind w:left="262" w:right="4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информирует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возобновлении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262" w:right="3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53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. </w:t>
      </w:r>
    </w:p>
    <w:p w:rsidR="00000000" w:rsidRDefault="00CF799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3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вручае</w:t>
      </w:r>
      <w:r>
        <w:rPr>
          <w:rFonts w:ascii="Times New Roman" w:hAnsi="Times New Roman" w:cs="Times New Roman"/>
          <w:color w:val="000000"/>
          <w:sz w:val="28"/>
          <w:szCs w:val="24"/>
        </w:rPr>
        <w:t>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4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before="150" w:after="0" w:line="330" w:lineRule="exact"/>
        <w:ind w:left="15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VII.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65" w:after="0" w:line="320" w:lineRule="exact"/>
        <w:ind w:left="262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резуль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татам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05.04.2013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</w:t>
      </w:r>
      <w:r>
        <w:rPr>
          <w:rFonts w:ascii="Times New Roman" w:hAnsi="Times New Roman" w:cs="Times New Roman"/>
          <w:color w:val="000000"/>
          <w:sz w:val="28"/>
          <w:szCs w:val="24"/>
        </w:rPr>
        <w:t>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F799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F799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принуждения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CF79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0" w:lineRule="exact"/>
        <w:ind w:left="262" w:right="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принуждения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0" w:lineRule="exact"/>
        <w:ind w:left="262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принуждения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тридцать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5" w:lineRule="exact"/>
        <w:ind w:left="262" w:right="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Отмена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судебном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отмены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0" w:lineRule="exact"/>
        <w:ind w:left="262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принимающ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)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докладывает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выходит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исполнившему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относящихся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6" w:right="710" w:bottom="660" w:left="1440" w:header="0" w:footer="0" w:gutter="0"/>
          <w:cols w:space="720"/>
          <w:noEndnote/>
        </w:sectPr>
      </w:pPr>
    </w:p>
    <w:p w:rsidR="00000000" w:rsidRDefault="00CF7998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autoSpaceDE w:val="0"/>
        <w:autoSpaceDN w:val="0"/>
        <w:adjustRightInd w:val="0"/>
        <w:spacing w:before="170" w:after="0" w:line="320" w:lineRule="exact"/>
        <w:ind w:left="262" w:right="2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VIII.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Требования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составлению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представлению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отчетности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65"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Ежеквартально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F79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. </w:t>
      </w:r>
    </w:p>
    <w:p w:rsidR="00000000" w:rsidRDefault="00CF79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раскрытию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</w:t>
      </w:r>
      <w:r>
        <w:rPr>
          <w:rFonts w:ascii="Times New Roman" w:hAnsi="Times New Roman" w:cs="Times New Roman"/>
          <w:color w:val="000000"/>
          <w:sz w:val="28"/>
          <w:szCs w:val="24"/>
        </w:rPr>
        <w:t>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относятся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7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выражении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возмещенных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неисполненных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принуждения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выражении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удовлетворенных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жалоб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исков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бездейс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твие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осуществляемые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контрольной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F7998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CF7998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квартальный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30-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F7998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периодом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CF7998">
      <w:pPr>
        <w:widowControl w:val="0"/>
        <w:autoSpaceDE w:val="0"/>
        <w:autoSpaceDN w:val="0"/>
        <w:adjustRightInd w:val="0"/>
        <w:spacing w:before="150" w:after="0" w:line="330" w:lineRule="exact"/>
        <w:ind w:left="236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IX.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F7998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165"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Обобщенная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результатах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содержащая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проверяемые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выражении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 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полугодия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CF7998">
      <w:pPr>
        <w:widowControl w:val="0"/>
        <w:autoSpaceDE w:val="0"/>
        <w:autoSpaceDN w:val="0"/>
        <w:adjustRightInd w:val="0"/>
        <w:spacing w:before="15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CF7998">
      <w:pPr>
        <w:widowControl w:val="0"/>
        <w:tabs>
          <w:tab w:val="left" w:pos="7996"/>
        </w:tabs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CF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446" w:right="720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30"/>
    <w:multiLevelType w:val="hybridMultilevel"/>
    <w:tmpl w:val="00015DC0"/>
    <w:lvl w:ilvl="0" w:tplc="000013B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1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2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9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A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8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E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19A5"/>
    <w:multiLevelType w:val="hybridMultilevel"/>
    <w:tmpl w:val="0000AB2E"/>
    <w:lvl w:ilvl="0" w:tplc="000022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2814"/>
    <w:multiLevelType w:val="hybridMultilevel"/>
    <w:tmpl w:val="00015C76"/>
    <w:lvl w:ilvl="0" w:tplc="0000050F">
      <w:start w:val="6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94">
      <w:start w:val="6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ED">
      <w:start w:val="6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81">
      <w:start w:val="6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0C2">
      <w:start w:val="6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1C">
      <w:start w:val="6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AD">
      <w:start w:val="6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8B">
      <w:start w:val="6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6B">
      <w:start w:val="6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2853"/>
    <w:multiLevelType w:val="hybridMultilevel"/>
    <w:tmpl w:val="00013B9E"/>
    <w:lvl w:ilvl="0" w:tplc="00001FD9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3B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A0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9E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0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B4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D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71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E1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2D9E"/>
    <w:multiLevelType w:val="hybridMultilevel"/>
    <w:tmpl w:val="00010B0B"/>
    <w:lvl w:ilvl="0" w:tplc="000016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0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330C"/>
    <w:multiLevelType w:val="hybridMultilevel"/>
    <w:tmpl w:val="0000090D"/>
    <w:lvl w:ilvl="0" w:tplc="000010C3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AF">
      <w:start w:val="1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A4">
      <w:start w:val="1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2F">
      <w:start w:val="1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97">
      <w:start w:val="1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ED3">
      <w:start w:val="1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86">
      <w:start w:val="1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6E">
      <w:start w:val="1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9E">
      <w:start w:val="1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33C9"/>
    <w:multiLevelType w:val="hybridMultilevel"/>
    <w:tmpl w:val="000053A6"/>
    <w:lvl w:ilvl="0" w:tplc="000007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5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3B7F"/>
    <w:multiLevelType w:val="hybridMultilevel"/>
    <w:tmpl w:val="000104B7"/>
    <w:lvl w:ilvl="0" w:tplc="000008EE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55">
      <w:start w:val="5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01">
      <w:start w:val="5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C0">
      <w:start w:val="5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50">
      <w:start w:val="5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DF">
      <w:start w:val="5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45">
      <w:start w:val="5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D7">
      <w:start w:val="5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7B">
      <w:start w:val="5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3C99"/>
    <w:multiLevelType w:val="hybridMultilevel"/>
    <w:tmpl w:val="0000754A"/>
    <w:lvl w:ilvl="0" w:tplc="00000D5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6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7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B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C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A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4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8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E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3F0C"/>
    <w:multiLevelType w:val="hybridMultilevel"/>
    <w:tmpl w:val="00004CF4"/>
    <w:lvl w:ilvl="0" w:tplc="00000930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51">
      <w:start w:val="4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85">
      <w:start w:val="4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8E">
      <w:start w:val="4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11">
      <w:start w:val="4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2E">
      <w:start w:val="4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F6">
      <w:start w:val="4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C8">
      <w:start w:val="4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2">
      <w:start w:val="4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5E31"/>
    <w:multiLevelType w:val="hybridMultilevel"/>
    <w:tmpl w:val="0000471E"/>
    <w:lvl w:ilvl="0" w:tplc="000024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F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2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8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5F97"/>
    <w:multiLevelType w:val="hybridMultilevel"/>
    <w:tmpl w:val="0000908F"/>
    <w:lvl w:ilvl="0" w:tplc="00000571">
      <w:start w:val="5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B8E">
      <w:start w:val="5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40">
      <w:start w:val="5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2B">
      <w:start w:val="5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7D">
      <w:start w:val="5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D8">
      <w:start w:val="5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B">
      <w:start w:val="5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97">
      <w:start w:val="5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48">
      <w:start w:val="5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6378"/>
    <w:multiLevelType w:val="hybridMultilevel"/>
    <w:tmpl w:val="00015ED8"/>
    <w:lvl w:ilvl="0" w:tplc="0000220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3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5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3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0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9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8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C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5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7743"/>
    <w:multiLevelType w:val="hybridMultilevel"/>
    <w:tmpl w:val="00012C30"/>
    <w:lvl w:ilvl="0" w:tplc="00001D6E">
      <w:start w:val="5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52E">
      <w:start w:val="5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83">
      <w:start w:val="5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C9">
      <w:start w:val="5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3B">
      <w:start w:val="5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34">
      <w:start w:val="5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CA">
      <w:start w:val="5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20">
      <w:start w:val="5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3D">
      <w:start w:val="5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7FA9"/>
    <w:multiLevelType w:val="hybridMultilevel"/>
    <w:tmpl w:val="0000EF67"/>
    <w:lvl w:ilvl="0" w:tplc="00000546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6C3">
      <w:start w:val="9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87A">
      <w:start w:val="9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549">
      <w:start w:val="9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6D5">
      <w:start w:val="9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E84">
      <w:start w:val="9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215D">
      <w:start w:val="9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2C3">
      <w:start w:val="9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173">
      <w:start w:val="9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0845F"/>
    <w:multiLevelType w:val="hybridMultilevel"/>
    <w:tmpl w:val="00007671"/>
    <w:lvl w:ilvl="0" w:tplc="00000F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0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2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8823"/>
    <w:multiLevelType w:val="hybridMultilevel"/>
    <w:tmpl w:val="00004BCA"/>
    <w:lvl w:ilvl="0" w:tplc="000007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D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F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8D2E"/>
    <w:multiLevelType w:val="hybridMultilevel"/>
    <w:tmpl w:val="000010FC"/>
    <w:lvl w:ilvl="0" w:tplc="000006D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D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2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8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4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7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8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8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F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0922D"/>
    <w:multiLevelType w:val="hybridMultilevel"/>
    <w:tmpl w:val="00010205"/>
    <w:lvl w:ilvl="0" w:tplc="0000121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FD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2C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8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8B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A9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CE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A9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AE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097D7"/>
    <w:multiLevelType w:val="hybridMultilevel"/>
    <w:tmpl w:val="0000CB76"/>
    <w:lvl w:ilvl="0" w:tplc="000023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D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A8FB"/>
    <w:multiLevelType w:val="hybridMultilevel"/>
    <w:tmpl w:val="0000A778"/>
    <w:lvl w:ilvl="0" w:tplc="00001602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872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212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BAA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7DB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3A2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4D8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C45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BA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1">
    <w:nsid w:val="0000AA18"/>
    <w:multiLevelType w:val="hybridMultilevel"/>
    <w:tmpl w:val="0000431F"/>
    <w:lvl w:ilvl="0" w:tplc="00001D71">
      <w:start w:val="6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5D">
      <w:start w:val="6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D">
      <w:start w:val="6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A1">
      <w:start w:val="6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4D">
      <w:start w:val="6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86">
      <w:start w:val="6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BD">
      <w:start w:val="6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1B">
      <w:start w:val="6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5B">
      <w:start w:val="6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2">
    <w:nsid w:val="0000B51A"/>
    <w:multiLevelType w:val="hybridMultilevel"/>
    <w:tmpl w:val="000070EE"/>
    <w:lvl w:ilvl="0" w:tplc="0000015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1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5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E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9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BCE5"/>
    <w:multiLevelType w:val="hybridMultilevel"/>
    <w:tmpl w:val="00014243"/>
    <w:lvl w:ilvl="0" w:tplc="000004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6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BFD7"/>
    <w:multiLevelType w:val="hybridMultilevel"/>
    <w:tmpl w:val="0000C494"/>
    <w:lvl w:ilvl="0" w:tplc="000011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0D0E3"/>
    <w:multiLevelType w:val="hybridMultilevel"/>
    <w:tmpl w:val="00011FA8"/>
    <w:lvl w:ilvl="0" w:tplc="000025F1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47">
      <w:start w:val="3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3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04">
      <w:start w:val="3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E">
      <w:start w:val="3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9B">
      <w:start w:val="3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6B">
      <w:start w:val="3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17">
      <w:start w:val="3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21">
      <w:start w:val="3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6">
    <w:nsid w:val="0000D5AA"/>
    <w:multiLevelType w:val="hybridMultilevel"/>
    <w:tmpl w:val="00013B38"/>
    <w:lvl w:ilvl="0" w:tplc="00000437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FF">
      <w:start w:val="2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1C">
      <w:start w:val="2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7F">
      <w:start w:val="2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3F8">
      <w:start w:val="2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8">
      <w:start w:val="2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E1">
      <w:start w:val="2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B6">
      <w:start w:val="2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A6">
      <w:start w:val="2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7">
    <w:nsid w:val="0000D996"/>
    <w:multiLevelType w:val="hybridMultilevel"/>
    <w:tmpl w:val="00015184"/>
    <w:lvl w:ilvl="0" w:tplc="000006E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D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2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C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2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4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E7D2"/>
    <w:multiLevelType w:val="hybridMultilevel"/>
    <w:tmpl w:val="0000B47B"/>
    <w:lvl w:ilvl="0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A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0F37C"/>
    <w:multiLevelType w:val="hybridMultilevel"/>
    <w:tmpl w:val="00001B4C"/>
    <w:lvl w:ilvl="0" w:tplc="000006DE">
      <w:start w:val="6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46">
      <w:start w:val="6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E8">
      <w:start w:val="6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97">
      <w:start w:val="6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71">
      <w:start w:val="6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77">
      <w:start w:val="6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F4">
      <w:start w:val="6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CC">
      <w:start w:val="6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0A">
      <w:start w:val="6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0">
    <w:nsid w:val="0000F61C"/>
    <w:multiLevelType w:val="hybridMultilevel"/>
    <w:tmpl w:val="00002EE9"/>
    <w:lvl w:ilvl="0" w:tplc="00001474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CF">
      <w:start w:val="2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EA">
      <w:start w:val="2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E2">
      <w:start w:val="2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19">
      <w:start w:val="2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9">
      <w:start w:val="2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61D">
      <w:start w:val="2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EC">
      <w:start w:val="2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F20">
      <w:start w:val="2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1">
    <w:nsid w:val="000100BD"/>
    <w:multiLevelType w:val="hybridMultilevel"/>
    <w:tmpl w:val="0000C34E"/>
    <w:lvl w:ilvl="0" w:tplc="0000007C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61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87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43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31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8D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71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49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CA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>
    <w:nsid w:val="000106C9"/>
    <w:multiLevelType w:val="hybridMultilevel"/>
    <w:tmpl w:val="0000C517"/>
    <w:lvl w:ilvl="0" w:tplc="000026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3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10992"/>
    <w:multiLevelType w:val="hybridMultilevel"/>
    <w:tmpl w:val="0000EE28"/>
    <w:lvl w:ilvl="0" w:tplc="00000CB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5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3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9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1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8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E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000110A8"/>
    <w:multiLevelType w:val="hybridMultilevel"/>
    <w:tmpl w:val="0000DEC4"/>
    <w:lvl w:ilvl="0" w:tplc="000022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000111DA"/>
    <w:multiLevelType w:val="hybridMultilevel"/>
    <w:tmpl w:val="000082DB"/>
    <w:lvl w:ilvl="0" w:tplc="00001DD7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29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00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F0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7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6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97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BD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9AA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6">
    <w:nsid w:val="00011773"/>
    <w:multiLevelType w:val="hybridMultilevel"/>
    <w:tmpl w:val="000073FB"/>
    <w:lvl w:ilvl="0" w:tplc="00000D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8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3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8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12989"/>
    <w:multiLevelType w:val="hybridMultilevel"/>
    <w:tmpl w:val="00007F26"/>
    <w:lvl w:ilvl="0" w:tplc="0000120B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9B">
      <w:start w:val="2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06">
      <w:start w:val="2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0E">
      <w:start w:val="2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AE7">
      <w:start w:val="2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40">
      <w:start w:val="2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BD">
      <w:start w:val="2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76">
      <w:start w:val="2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11">
      <w:start w:val="2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8">
    <w:nsid w:val="0001299F"/>
    <w:multiLevelType w:val="hybridMultilevel"/>
    <w:tmpl w:val="00015200"/>
    <w:lvl w:ilvl="0" w:tplc="000005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B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>
    <w:nsid w:val="00012D5A"/>
    <w:multiLevelType w:val="hybridMultilevel"/>
    <w:tmpl w:val="0001751D"/>
    <w:lvl w:ilvl="0" w:tplc="00000C9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D3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0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F6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33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3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CD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9F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33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>
    <w:nsid w:val="0001301F"/>
    <w:multiLevelType w:val="hybridMultilevel"/>
    <w:tmpl w:val="0000262D"/>
    <w:lvl w:ilvl="0" w:tplc="0000216D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A3">
      <w:start w:val="2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DD">
      <w:start w:val="2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07">
      <w:start w:val="2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59">
      <w:start w:val="2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D0">
      <w:start w:val="2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F8">
      <w:start w:val="2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04">
      <w:start w:val="2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A2">
      <w:start w:val="2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1">
    <w:nsid w:val="0001353C"/>
    <w:multiLevelType w:val="hybridMultilevel"/>
    <w:tmpl w:val="0000AAFA"/>
    <w:lvl w:ilvl="0" w:tplc="00001F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C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1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0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>
    <w:nsid w:val="00013B34"/>
    <w:multiLevelType w:val="hybridMultilevel"/>
    <w:tmpl w:val="00002244"/>
    <w:lvl w:ilvl="0" w:tplc="0000116E">
      <w:start w:val="5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4B">
      <w:start w:val="5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E7">
      <w:start w:val="5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B69">
      <w:start w:val="5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CD">
      <w:start w:val="5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8F2">
      <w:start w:val="5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6E">
      <w:start w:val="5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BC">
      <w:start w:val="5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1A">
      <w:start w:val="5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3">
    <w:nsid w:val="00013B73"/>
    <w:multiLevelType w:val="hybridMultilevel"/>
    <w:tmpl w:val="00010A93"/>
    <w:lvl w:ilvl="0" w:tplc="000005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4">
    <w:nsid w:val="00014CA2"/>
    <w:multiLevelType w:val="hybridMultilevel"/>
    <w:tmpl w:val="0000EACD"/>
    <w:lvl w:ilvl="0" w:tplc="00000489">
      <w:start w:val="4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CA">
      <w:start w:val="4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CB">
      <w:start w:val="4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A">
      <w:start w:val="4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2B">
      <w:start w:val="4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49">
      <w:start w:val="4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EB">
      <w:start w:val="4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24">
      <w:start w:val="4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31">
      <w:start w:val="4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5">
    <w:nsid w:val="00014E91"/>
    <w:multiLevelType w:val="hybridMultilevel"/>
    <w:tmpl w:val="00009AC1"/>
    <w:lvl w:ilvl="0" w:tplc="00001D8A">
      <w:start w:val="5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74">
      <w:start w:val="5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FE0">
      <w:start w:val="5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B84">
      <w:start w:val="5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7D">
      <w:start w:val="5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9A">
      <w:start w:val="5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C">
      <w:start w:val="5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2A">
      <w:start w:val="5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EE">
      <w:start w:val="5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6">
    <w:nsid w:val="0001578C"/>
    <w:multiLevelType w:val="hybridMultilevel"/>
    <w:tmpl w:val="0000679F"/>
    <w:lvl w:ilvl="0" w:tplc="00001879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4D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77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44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22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E5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FA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18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39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7">
    <w:nsid w:val="00016392"/>
    <w:multiLevelType w:val="hybridMultilevel"/>
    <w:tmpl w:val="0000C7FC"/>
    <w:lvl w:ilvl="0" w:tplc="00000CB4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B0">
      <w:start w:val="3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16">
      <w:start w:val="3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3B">
      <w:start w:val="3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50">
      <w:start w:val="3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8E">
      <w:start w:val="3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9">
      <w:start w:val="3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F6">
      <w:start w:val="3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20">
      <w:start w:val="3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8">
    <w:nsid w:val="00016EAB"/>
    <w:multiLevelType w:val="hybridMultilevel"/>
    <w:tmpl w:val="00006D19"/>
    <w:lvl w:ilvl="0" w:tplc="00000E43">
      <w:start w:val="3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B0">
      <w:start w:val="3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33">
      <w:start w:val="3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AF">
      <w:start w:val="3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66">
      <w:start w:val="3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F9">
      <w:start w:val="3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7F">
      <w:start w:val="3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E2">
      <w:start w:val="3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55">
      <w:start w:val="3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9">
    <w:nsid w:val="00017AAB"/>
    <w:multiLevelType w:val="hybridMultilevel"/>
    <w:tmpl w:val="00016396"/>
    <w:lvl w:ilvl="0" w:tplc="00001FC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A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3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9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C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D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5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3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9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0">
    <w:nsid w:val="00017F08"/>
    <w:multiLevelType w:val="hybridMultilevel"/>
    <w:tmpl w:val="0000ACE0"/>
    <w:lvl w:ilvl="0" w:tplc="0000153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2A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0F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30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D0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9C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66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32E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4B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1">
    <w:nsid w:val="00018179"/>
    <w:multiLevelType w:val="hybridMultilevel"/>
    <w:tmpl w:val="00012D80"/>
    <w:lvl w:ilvl="0" w:tplc="00001C08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C6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B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82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3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9E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C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B1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2">
    <w:nsid w:val="000183EE"/>
    <w:multiLevelType w:val="hybridMultilevel"/>
    <w:tmpl w:val="00015726"/>
    <w:lvl w:ilvl="0" w:tplc="00000D4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D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8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F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4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0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F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A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E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39"/>
  </w:num>
  <w:num w:numId="3">
    <w:abstractNumId w:val="52"/>
  </w:num>
  <w:num w:numId="4">
    <w:abstractNumId w:val="22"/>
  </w:num>
  <w:num w:numId="5">
    <w:abstractNumId w:val="14"/>
  </w:num>
  <w:num w:numId="6">
    <w:abstractNumId w:val="8"/>
  </w:num>
  <w:num w:numId="7">
    <w:abstractNumId w:val="31"/>
  </w:num>
  <w:num w:numId="8">
    <w:abstractNumId w:val="49"/>
  </w:num>
  <w:num w:numId="9">
    <w:abstractNumId w:val="18"/>
  </w:num>
  <w:num w:numId="10">
    <w:abstractNumId w:val="36"/>
  </w:num>
  <w:num w:numId="11">
    <w:abstractNumId w:val="46"/>
  </w:num>
  <w:num w:numId="12">
    <w:abstractNumId w:val="35"/>
  </w:num>
  <w:num w:numId="13">
    <w:abstractNumId w:val="0"/>
  </w:num>
  <w:num w:numId="14">
    <w:abstractNumId w:val="50"/>
  </w:num>
  <w:num w:numId="15">
    <w:abstractNumId w:val="19"/>
  </w:num>
  <w:num w:numId="16">
    <w:abstractNumId w:val="1"/>
  </w:num>
  <w:num w:numId="17">
    <w:abstractNumId w:val="51"/>
  </w:num>
  <w:num w:numId="18">
    <w:abstractNumId w:val="38"/>
  </w:num>
  <w:num w:numId="19">
    <w:abstractNumId w:val="3"/>
  </w:num>
  <w:num w:numId="20">
    <w:abstractNumId w:val="5"/>
  </w:num>
  <w:num w:numId="21">
    <w:abstractNumId w:val="26"/>
  </w:num>
  <w:num w:numId="22">
    <w:abstractNumId w:val="32"/>
  </w:num>
  <w:num w:numId="23">
    <w:abstractNumId w:val="37"/>
  </w:num>
  <w:num w:numId="24">
    <w:abstractNumId w:val="23"/>
  </w:num>
  <w:num w:numId="25">
    <w:abstractNumId w:val="40"/>
  </w:num>
  <w:num w:numId="26">
    <w:abstractNumId w:val="30"/>
  </w:num>
  <w:num w:numId="27">
    <w:abstractNumId w:val="25"/>
  </w:num>
  <w:num w:numId="28">
    <w:abstractNumId w:val="20"/>
  </w:num>
  <w:num w:numId="29">
    <w:abstractNumId w:val="47"/>
  </w:num>
  <w:num w:numId="30">
    <w:abstractNumId w:val="27"/>
  </w:num>
  <w:num w:numId="31">
    <w:abstractNumId w:val="48"/>
  </w:num>
  <w:num w:numId="32">
    <w:abstractNumId w:val="44"/>
  </w:num>
  <w:num w:numId="33">
    <w:abstractNumId w:val="9"/>
  </w:num>
  <w:num w:numId="34">
    <w:abstractNumId w:val="16"/>
  </w:num>
  <w:num w:numId="35">
    <w:abstractNumId w:val="12"/>
  </w:num>
  <w:num w:numId="36">
    <w:abstractNumId w:val="15"/>
  </w:num>
  <w:num w:numId="37">
    <w:abstractNumId w:val="7"/>
  </w:num>
  <w:num w:numId="38">
    <w:abstractNumId w:val="10"/>
  </w:num>
  <w:num w:numId="39">
    <w:abstractNumId w:val="17"/>
  </w:num>
  <w:num w:numId="40">
    <w:abstractNumId w:val="34"/>
  </w:num>
  <w:num w:numId="41">
    <w:abstractNumId w:val="45"/>
  </w:num>
  <w:num w:numId="42">
    <w:abstractNumId w:val="43"/>
  </w:num>
  <w:num w:numId="43">
    <w:abstractNumId w:val="6"/>
  </w:num>
  <w:num w:numId="44">
    <w:abstractNumId w:val="11"/>
  </w:num>
  <w:num w:numId="45">
    <w:abstractNumId w:val="42"/>
  </w:num>
  <w:num w:numId="46">
    <w:abstractNumId w:val="4"/>
  </w:num>
  <w:num w:numId="47">
    <w:abstractNumId w:val="13"/>
  </w:num>
  <w:num w:numId="48">
    <w:abstractNumId w:val="29"/>
  </w:num>
  <w:num w:numId="49">
    <w:abstractNumId w:val="24"/>
  </w:num>
  <w:num w:numId="50">
    <w:abstractNumId w:val="21"/>
  </w:num>
  <w:num w:numId="51">
    <w:abstractNumId w:val="41"/>
  </w:num>
  <w:num w:numId="52">
    <w:abstractNumId w:val="28"/>
  </w:num>
  <w:num w:numId="53">
    <w:abstractNumId w:val="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F7998"/>
    <w:rsid w:val="00C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3633</Words>
  <Characters>20713</Characters>
  <Application>Microsoft Office Word</Application>
  <DocSecurity>4</DocSecurity>
  <Lines>172</Lines>
  <Paragraphs>48</Paragraphs>
  <ScaleCrop>false</ScaleCrop>
  <Company/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2016-03-28T12:35:00Z</dcterms:created>
  <dcterms:modified xsi:type="dcterms:W3CDTF">2016-03-28T12:35:00Z</dcterms:modified>
</cp:coreProperties>
</file>