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left="34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-715645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10" w:after="0" w:line="340" w:lineRule="exact"/>
        <w:ind w:left="1284" w:right="12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290" w:after="0" w:line="330" w:lineRule="exact"/>
        <w:ind w:left="27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265A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855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85" w:lineRule="exact"/>
        <w:ind w:left="41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265A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</w:p>
    <w:p w:rsidR="00000000" w:rsidRDefault="004265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</w:p>
    <w:p w:rsidR="00000000" w:rsidRDefault="004265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2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26.11.2007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14.11.2008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687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57-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265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Николаев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5-00-41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265A1">
      <w:pPr>
        <w:widowControl w:val="0"/>
        <w:tabs>
          <w:tab w:val="left" w:pos="398"/>
          <w:tab w:val="left" w:pos="326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5027" w:space="638"/>
            <w:col w:w="70" w:space="638"/>
            <w:col w:w="3297" w:space="0"/>
            <w:col w:w="-1"/>
          </w:cols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285" w:lineRule="exact"/>
        <w:ind w:left="60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5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285" w:lineRule="exact"/>
        <w:ind w:left="60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Советского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7677" w:space="532"/>
            <w:col w:w="1147" w:space="0"/>
            <w:col w:w="-1"/>
          </w:cols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260" w:lineRule="exact"/>
        <w:ind w:left="6025" w:right="1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09.09.2014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855 </w:t>
      </w:r>
    </w:p>
    <w:p w:rsidR="00000000" w:rsidRDefault="004265A1">
      <w:pPr>
        <w:widowControl w:val="0"/>
        <w:autoSpaceDE w:val="0"/>
        <w:autoSpaceDN w:val="0"/>
        <w:adjustRightInd w:val="0"/>
        <w:spacing w:before="290" w:after="0" w:line="330" w:lineRule="exact"/>
        <w:ind w:left="41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left="1202" w:right="115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5"/>
        </w:numPr>
        <w:tabs>
          <w:tab w:val="left" w:pos="6163"/>
        </w:tabs>
        <w:autoSpaceDE w:val="0"/>
        <w:autoSpaceDN w:val="0"/>
        <w:adjustRightInd w:val="0"/>
        <w:spacing w:after="0" w:line="330" w:lineRule="exact"/>
        <w:ind w:left="344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12.02. 1998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26.11.2007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.11.2008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687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24.11. 2008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>»,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70" w:after="0" w:line="320" w:lineRule="exact"/>
        <w:ind w:left="223" w:right="25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285"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реализовыва</w:t>
      </w:r>
      <w:r>
        <w:rPr>
          <w:rFonts w:ascii="Times New Roman" w:hAnsi="Times New Roman" w:cs="Times New Roman"/>
          <w:color w:val="000000"/>
          <w:sz w:val="28"/>
          <w:szCs w:val="24"/>
        </w:rPr>
        <w:t>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3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tabs>
          <w:tab w:val="left" w:pos="621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</w:t>
      </w:r>
      <w:r>
        <w:rPr>
          <w:rFonts w:ascii="Times New Roman" w:hAnsi="Times New Roman" w:cs="Times New Roman"/>
          <w:color w:val="000000"/>
          <w:sz w:val="28"/>
          <w:szCs w:val="24"/>
        </w:rPr>
        <w:t>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</w:t>
      </w:r>
      <w:r>
        <w:rPr>
          <w:rFonts w:ascii="Times New Roman" w:hAnsi="Times New Roman" w:cs="Times New Roman"/>
          <w:color w:val="000000"/>
          <w:sz w:val="28"/>
          <w:szCs w:val="24"/>
        </w:rPr>
        <w:t>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одобряет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0" w:after="0" w:line="330" w:lineRule="exact"/>
        <w:ind w:left="22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285"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4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пропаганда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</w:t>
      </w:r>
      <w:r>
        <w:rPr>
          <w:rFonts w:ascii="Times New Roman" w:hAnsi="Times New Roman" w:cs="Times New Roman"/>
          <w:color w:val="000000"/>
          <w:sz w:val="28"/>
          <w:szCs w:val="24"/>
        </w:rPr>
        <w:t>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телевизионного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3.2.3.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наращивания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заглубленных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3.2.4.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color w:val="000000"/>
          <w:sz w:val="28"/>
          <w:szCs w:val="24"/>
        </w:rPr>
        <w:t>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демаскирующих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3.2.5.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</w:t>
      </w:r>
      <w:r>
        <w:rPr>
          <w:rFonts w:ascii="Times New Roman" w:hAnsi="Times New Roman" w:cs="Times New Roman"/>
          <w:color w:val="000000"/>
          <w:sz w:val="28"/>
          <w:szCs w:val="24"/>
        </w:rPr>
        <w:t>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непродовольственными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развертывание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сохранившегося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пансионатах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сохранившегося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3.2.7.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4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3.2.9.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обеззараживанию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дезактивирующих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дегазирующих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обеззараживанию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очагах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3.2.11.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</w:t>
      </w:r>
      <w:r>
        <w:rPr>
          <w:rFonts w:ascii="Times New Roman" w:hAnsi="Times New Roman" w:cs="Times New Roman"/>
          <w:color w:val="000000"/>
          <w:sz w:val="28"/>
          <w:szCs w:val="24"/>
        </w:rPr>
        <w:t>ртировки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консервантов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дезинфицирующих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емкостей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3.2.12.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3.2.13.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3.2.14.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70" w:after="0" w:line="320" w:lineRule="exact"/>
        <w:ind w:left="324" w:right="35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285"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эвакоприемные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эвакоприемные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1700" w:space="590"/>
            <w:col w:w="7413" w:space="0"/>
            <w:col w:w="-1"/>
          </w:cols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3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70" w:after="0" w:line="330" w:lineRule="exact"/>
        <w:ind w:left="1517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285"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снаряжением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4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8"/>
          <w:szCs w:val="24"/>
        </w:rPr>
        <w:t>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3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2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</w:t>
      </w:r>
      <w:r>
        <w:rPr>
          <w:rFonts w:ascii="Times New Roman" w:hAnsi="Times New Roman" w:cs="Times New Roman"/>
          <w:color w:val="000000"/>
          <w:sz w:val="28"/>
          <w:szCs w:val="24"/>
        </w:rPr>
        <w:t>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</w:t>
      </w:r>
      <w:r>
        <w:rPr>
          <w:rFonts w:ascii="Times New Roman" w:hAnsi="Times New Roman" w:cs="Times New Roman"/>
          <w:color w:val="000000"/>
          <w:sz w:val="28"/>
          <w:szCs w:val="24"/>
        </w:rPr>
        <w:t>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tabs>
          <w:tab w:val="left" w:pos="4221"/>
          <w:tab w:val="left" w:pos="6499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дежурные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; </w:t>
      </w:r>
    </w:p>
    <w:p w:rsidR="00000000" w:rsidRDefault="004265A1">
      <w:pPr>
        <w:widowControl w:val="0"/>
        <w:tabs>
          <w:tab w:val="left" w:pos="348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30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1,5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нерабочее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30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tabs>
          <w:tab w:val="left" w:pos="4641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1,5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90" w:after="0" w:line="320" w:lineRule="exact"/>
        <w:ind w:left="1063" w:right="108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28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2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3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6.5.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6.7.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эвакоприемные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эвакоприемные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эвакопри</w:t>
      </w:r>
      <w:r>
        <w:rPr>
          <w:rFonts w:ascii="Times New Roman" w:hAnsi="Times New Roman" w:cs="Times New Roman"/>
          <w:color w:val="000000"/>
          <w:sz w:val="28"/>
          <w:szCs w:val="24"/>
        </w:rPr>
        <w:t>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эвакоприемных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6.8.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донесений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4"/>
        </w:rPr>
        <w:t>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экспертную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упаковочного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погрузочно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разгрузочных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4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</w:t>
      </w:r>
      <w:r>
        <w:rPr>
          <w:rFonts w:ascii="Times New Roman" w:hAnsi="Times New Roman" w:cs="Times New Roman"/>
          <w:color w:val="000000"/>
          <w:sz w:val="28"/>
          <w:szCs w:val="24"/>
        </w:rPr>
        <w:t>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демаскирующих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автотракторной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горюче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смазочными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обеззараживания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6.10.1.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развертывание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</w:t>
      </w:r>
      <w:r>
        <w:rPr>
          <w:rFonts w:ascii="Times New Roman" w:hAnsi="Times New Roman" w:cs="Times New Roman"/>
          <w:color w:val="000000"/>
          <w:sz w:val="28"/>
          <w:szCs w:val="24"/>
        </w:rPr>
        <w:t>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6.10.2.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5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</w:t>
      </w:r>
      <w:r>
        <w:rPr>
          <w:rFonts w:ascii="Times New Roman" w:hAnsi="Times New Roman" w:cs="Times New Roman"/>
          <w:color w:val="000000"/>
          <w:sz w:val="28"/>
          <w:szCs w:val="24"/>
        </w:rPr>
        <w:t>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6.10.3.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6.10.4.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сохранившегося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пансионатах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сохранившегося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6.10.5.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</w:t>
      </w:r>
      <w:r>
        <w:rPr>
          <w:rFonts w:ascii="Times New Roman" w:hAnsi="Times New Roman" w:cs="Times New Roman"/>
          <w:color w:val="000000"/>
          <w:sz w:val="28"/>
          <w:szCs w:val="24"/>
        </w:rPr>
        <w:t>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4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6.10.6.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8"/>
          <w:szCs w:val="24"/>
        </w:rPr>
        <w:t>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быстровозводимых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противорадиационных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укрытий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5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очагах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</w:t>
      </w:r>
      <w:r>
        <w:rPr>
          <w:rFonts w:ascii="Times New Roman" w:hAnsi="Times New Roman" w:cs="Times New Roman"/>
          <w:color w:val="000000"/>
          <w:sz w:val="28"/>
          <w:szCs w:val="24"/>
        </w:rPr>
        <w:t>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</w:t>
      </w:r>
      <w:r>
        <w:rPr>
          <w:rFonts w:ascii="Times New Roman" w:hAnsi="Times New Roman" w:cs="Times New Roman"/>
          <w:color w:val="000000"/>
          <w:sz w:val="28"/>
          <w:szCs w:val="24"/>
        </w:rPr>
        <w:t>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6.10.7.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безотказной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>опроводного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обеззараживания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</w:t>
      </w:r>
      <w:r>
        <w:rPr>
          <w:rFonts w:ascii="Times New Roman" w:hAnsi="Times New Roman" w:cs="Times New Roman"/>
          <w:color w:val="000000"/>
          <w:sz w:val="28"/>
          <w:szCs w:val="24"/>
        </w:rPr>
        <w:t>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6.10.8.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сухими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пай</w:t>
      </w:r>
      <w:r>
        <w:rPr>
          <w:rFonts w:ascii="Times New Roman" w:hAnsi="Times New Roman" w:cs="Times New Roman"/>
          <w:color w:val="000000"/>
          <w:sz w:val="28"/>
          <w:szCs w:val="24"/>
        </w:rPr>
        <w:t>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обмывочные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</w:t>
      </w:r>
      <w:r>
        <w:rPr>
          <w:rFonts w:ascii="Times New Roman" w:hAnsi="Times New Roman" w:cs="Times New Roman"/>
          <w:color w:val="000000"/>
          <w:sz w:val="28"/>
          <w:szCs w:val="24"/>
        </w:rPr>
        <w:t>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6.10.9.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горюче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смазочными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горюче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смазочными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автотракторной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бесперебойной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светомаскировке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6.10.10.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карантина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6.10.11.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спасение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задымленных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загазованных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6.10.12.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прикрытию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кратчайший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7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6.10.13.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</w:t>
      </w:r>
      <w:r>
        <w:rPr>
          <w:rFonts w:ascii="Times New Roman" w:hAnsi="Times New Roman" w:cs="Times New Roman"/>
          <w:color w:val="000000"/>
          <w:sz w:val="28"/>
          <w:szCs w:val="24"/>
        </w:rPr>
        <w:t>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фитопатологической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растениеводства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>. 6.10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.14.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развертывание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6.10.15.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АСДНР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4265A1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</w:t>
      </w:r>
      <w:r>
        <w:rPr>
          <w:rFonts w:ascii="Times New Roman" w:hAnsi="Times New Roman" w:cs="Times New Roman"/>
          <w:color w:val="000000"/>
          <w:sz w:val="28"/>
          <w:szCs w:val="24"/>
        </w:rPr>
        <w:t>утах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АСДНР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90" w:after="0" w:line="330" w:lineRule="exact"/>
        <w:ind w:left="28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before="285"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7.2.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65A1">
      <w:pPr>
        <w:widowControl w:val="0"/>
        <w:tabs>
          <w:tab w:val="left" w:pos="6711"/>
          <w:tab w:val="left" w:pos="707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63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21"/>
    <w:multiLevelType w:val="hybridMultilevel"/>
    <w:tmpl w:val="00017E27"/>
    <w:lvl w:ilvl="0" w:tplc="000017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9A7"/>
    <w:multiLevelType w:val="hybridMultilevel"/>
    <w:tmpl w:val="00011203"/>
    <w:lvl w:ilvl="0" w:tplc="000025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8B7"/>
    <w:multiLevelType w:val="hybridMultilevel"/>
    <w:tmpl w:val="0000780F"/>
    <w:lvl w:ilvl="0" w:tplc="000025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5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F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A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475"/>
    <w:multiLevelType w:val="hybridMultilevel"/>
    <w:tmpl w:val="00009D59"/>
    <w:lvl w:ilvl="0" w:tplc="00001F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D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C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2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C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E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C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9FE"/>
    <w:multiLevelType w:val="hybridMultilevel"/>
    <w:tmpl w:val="0000424E"/>
    <w:lvl w:ilvl="0" w:tplc="000022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7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E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9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B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D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9DB9"/>
    <w:multiLevelType w:val="hybridMultilevel"/>
    <w:tmpl w:val="00001C7E"/>
    <w:lvl w:ilvl="0" w:tplc="000011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B0AD"/>
    <w:multiLevelType w:val="hybridMultilevel"/>
    <w:tmpl w:val="000152F4"/>
    <w:lvl w:ilvl="0" w:tplc="00001B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17A"/>
    <w:multiLevelType w:val="hybridMultilevel"/>
    <w:tmpl w:val="00006CB7"/>
    <w:lvl w:ilvl="0" w:tplc="00000D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3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7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8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B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7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BEF9"/>
    <w:multiLevelType w:val="hybridMultilevel"/>
    <w:tmpl w:val="000140D2"/>
    <w:lvl w:ilvl="0" w:tplc="000021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E878"/>
    <w:multiLevelType w:val="hybridMultilevel"/>
    <w:tmpl w:val="0000B75D"/>
    <w:lvl w:ilvl="0" w:tplc="00001C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A73"/>
    <w:multiLevelType w:val="hybridMultilevel"/>
    <w:tmpl w:val="00016378"/>
    <w:lvl w:ilvl="0" w:tplc="00001921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C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D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F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F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68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8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B6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A8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FDF1"/>
    <w:multiLevelType w:val="hybridMultilevel"/>
    <w:tmpl w:val="00009E47"/>
    <w:lvl w:ilvl="0" w:tplc="000005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09C0"/>
    <w:multiLevelType w:val="hybridMultilevel"/>
    <w:tmpl w:val="0000B044"/>
    <w:lvl w:ilvl="0" w:tplc="00000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AA5"/>
    <w:multiLevelType w:val="hybridMultilevel"/>
    <w:tmpl w:val="000179FA"/>
    <w:lvl w:ilvl="0" w:tplc="000021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0C2"/>
    <w:multiLevelType w:val="hybridMultilevel"/>
    <w:tmpl w:val="000015D0"/>
    <w:lvl w:ilvl="0" w:tplc="0000022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3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9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F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3C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D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7496"/>
    <w:multiLevelType w:val="hybridMultilevel"/>
    <w:tmpl w:val="000022F3"/>
    <w:lvl w:ilvl="0" w:tplc="000005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75CF"/>
    <w:multiLevelType w:val="hybridMultilevel"/>
    <w:tmpl w:val="00012B63"/>
    <w:lvl w:ilvl="0" w:tplc="000023C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4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D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0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2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8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E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7A01"/>
    <w:multiLevelType w:val="hybridMultilevel"/>
    <w:tmpl w:val="0000C972"/>
    <w:lvl w:ilvl="0" w:tplc="000024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4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B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8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5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C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7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7A21"/>
    <w:multiLevelType w:val="hybridMultilevel"/>
    <w:tmpl w:val="0001230B"/>
    <w:lvl w:ilvl="0" w:tplc="000024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7"/>
  </w:num>
  <w:num w:numId="5">
    <w:abstractNumId w:val="16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265A1"/>
    <w:rsid w:val="0042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6993</Words>
  <Characters>39865</Characters>
  <Application>Microsoft Office Word</Application>
  <DocSecurity>4</DocSecurity>
  <Lines>332</Lines>
  <Paragraphs>93</Paragraphs>
  <ScaleCrop>false</ScaleCrop>
  <Company/>
  <LinksUpToDate>false</LinksUpToDate>
  <CharactersWithSpaces>46765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