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7D3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-802640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before="15" w:after="0" w:line="285" w:lineRule="exact"/>
        <w:ind w:left="170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257D3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330" w:lineRule="exact"/>
        <w:ind w:left="3135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257D3">
      <w:pPr>
        <w:widowControl w:val="0"/>
        <w:tabs>
          <w:tab w:val="left" w:pos="7266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before="265" w:after="0" w:line="315" w:lineRule="exact"/>
        <w:ind w:left="46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15.01.2014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Arial" w:hAnsi="Arial" w:cs="Times New Roman"/>
          <w:color w:val="000000"/>
          <w:sz w:val="24"/>
          <w:szCs w:val="24"/>
        </w:rPr>
        <w:t>№</w:t>
      </w:r>
      <w:r>
        <w:rPr>
          <w:rFonts w:ascii="Arial" w:hAnsi="Arial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 </w:t>
      </w:r>
    </w:p>
    <w:p w:rsidR="00000000" w:rsidRDefault="00E257D3">
      <w:pPr>
        <w:widowControl w:val="0"/>
        <w:autoSpaceDE w:val="0"/>
        <w:autoSpaceDN w:val="0"/>
        <w:adjustRightInd w:val="0"/>
        <w:spacing w:before="1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2" w:right="206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29.06.2012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582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2" w:lineRule="exact"/>
        <w:ind w:left="432" w:right="2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4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>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582                   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257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432" w:right="3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17 91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60" w:right="268" w:bottom="660" w:left="1440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57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761" w:right="6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580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15.01.2014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57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5761" w:right="6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580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03.06.2013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before="270" w:after="0" w:line="330" w:lineRule="exact"/>
        <w:ind w:left="264" w:right="18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E257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70" w:after="0" w:line="330" w:lineRule="exact"/>
        <w:ind w:left="380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before="285"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</w:t>
      </w:r>
      <w:r>
        <w:rPr>
          <w:rFonts w:ascii="Times New Roman" w:hAnsi="Times New Roman" w:cs="Times New Roman"/>
          <w:color w:val="000000"/>
          <w:sz w:val="28"/>
          <w:szCs w:val="24"/>
        </w:rPr>
        <w:t>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tabs>
          <w:tab w:val="left" w:pos="664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5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E257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4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57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257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257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537" w:bottom="439" w:left="1135" w:header="0" w:footer="0" w:gutter="0"/>
          <w:cols w:space="720"/>
          <w:noEndnote/>
        </w:sectPr>
      </w:pPr>
    </w:p>
    <w:p w:rsidR="00000000" w:rsidRDefault="00E257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348" w:right="380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1.3.2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413210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5-17-91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5-05-53, 5-00-53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http://stepnoe.sarmo.ru/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tabs>
          <w:tab w:val="left" w:pos="417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</w:t>
      </w:r>
      <w:r>
        <w:rPr>
          <w:rFonts w:ascii="Times New Roman" w:hAnsi="Times New Roman" w:cs="Times New Roman"/>
          <w:color w:val="000000"/>
          <w:sz w:val="28"/>
          <w:szCs w:val="24"/>
        </w:rPr>
        <w:t>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otdelim@yandex.ru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9.00 - 16.00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12.00 - 13.00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7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1.3.3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4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</w:p>
    <w:p w:rsidR="00000000" w:rsidRDefault="00E257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</w:p>
    <w:p w:rsidR="00000000" w:rsidRDefault="00E257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257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257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57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57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>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E257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7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537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</w:t>
      </w:r>
      <w:r>
        <w:rPr>
          <w:rFonts w:ascii="Times New Roman" w:hAnsi="Times New Roman" w:cs="Times New Roman"/>
          <w:color w:val="000000"/>
          <w:sz w:val="28"/>
          <w:szCs w:val="24"/>
        </w:rPr>
        <w:t>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before="270" w:after="0" w:line="330" w:lineRule="exact"/>
        <w:ind w:left="1690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E257D3">
      <w:pPr>
        <w:widowControl w:val="0"/>
        <w:tabs>
          <w:tab w:val="left" w:pos="5921"/>
        </w:tabs>
        <w:autoSpaceDE w:val="0"/>
        <w:autoSpaceDN w:val="0"/>
        <w:adjustRightInd w:val="0"/>
        <w:spacing w:before="285"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Наименовани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2.2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3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 </w:t>
      </w:r>
    </w:p>
    <w:p w:rsidR="00000000" w:rsidRDefault="00E257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30" w:lineRule="exact"/>
        <w:ind w:left="2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2.4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4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before="285" w:after="0" w:line="315" w:lineRule="exact"/>
        <w:ind w:left="34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2.5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</w:t>
      </w:r>
      <w:r>
        <w:rPr>
          <w:rFonts w:ascii="Times New Roman" w:hAnsi="Times New Roman" w:cs="Times New Roman"/>
          <w:color w:val="000000"/>
          <w:sz w:val="28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25.12.1993,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E257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 05.12.1994,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32,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.3301,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08.12.1994,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238-239); </w:t>
      </w:r>
    </w:p>
    <w:p w:rsidR="00000000" w:rsidRDefault="00E257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25.10.2001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30.10.2001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</w:t>
      </w:r>
      <w:r>
        <w:rPr>
          <w:rFonts w:ascii="Times New Roman" w:hAnsi="Times New Roman" w:cs="Times New Roman"/>
          <w:color w:val="000000"/>
          <w:sz w:val="28"/>
          <w:szCs w:val="24"/>
        </w:rPr>
        <w:t>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211-212); </w:t>
      </w:r>
    </w:p>
    <w:p w:rsidR="00000000" w:rsidRDefault="00E257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30.12.2004,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1),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.16,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14.01.2005,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5-6); </w:t>
      </w:r>
    </w:p>
    <w:p w:rsidR="00000000" w:rsidRDefault="00E257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21.07.1997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607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16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28.07.1997,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.3594,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30.07.1997,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145); </w:t>
      </w:r>
    </w:p>
    <w:p w:rsidR="00000000" w:rsidRDefault="00E257D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1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25.10.2001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29.10.2001,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44,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.4148,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30.10.2001,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204-205,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30.10.2001,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211-212); </w:t>
      </w:r>
    </w:p>
    <w:p w:rsidR="00000000" w:rsidRDefault="00E257D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16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17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.3822); </w:t>
      </w:r>
    </w:p>
    <w:p w:rsidR="00000000" w:rsidRDefault="00E257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6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>»,  30.12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.2004,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  03.01.2005,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 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.17,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14.01.2005,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5-6); </w:t>
      </w:r>
    </w:p>
    <w:p w:rsidR="00000000" w:rsidRDefault="00E257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6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08.05.2006,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.2060); </w:t>
      </w:r>
    </w:p>
    <w:p w:rsidR="00000000" w:rsidRDefault="00E257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6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165,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(1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.3451,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03.08.2006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126-127); </w:t>
      </w:r>
    </w:p>
    <w:p w:rsidR="00000000" w:rsidRDefault="00E257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6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30.07.2007,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.4017,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01.08.2007,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165,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09.08.2007,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99-101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257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6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09.02.2009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»,13.02.2009,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4849); </w:t>
      </w:r>
    </w:p>
    <w:p w:rsidR="00000000" w:rsidRDefault="00E257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06.10.2003,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.3822); </w:t>
      </w:r>
    </w:p>
    <w:p w:rsidR="00000000" w:rsidRDefault="00E257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1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21.05.2004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Поволжья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25.05.2004,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 (1050); </w:t>
      </w:r>
    </w:p>
    <w:p w:rsidR="00000000" w:rsidRDefault="00E257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25.03.2009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675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</w:t>
      </w:r>
      <w:r>
        <w:rPr>
          <w:rFonts w:ascii="Times New Roman" w:hAnsi="Times New Roman" w:cs="Times New Roman"/>
          <w:color w:val="000000"/>
          <w:sz w:val="28"/>
          <w:szCs w:val="24"/>
        </w:rPr>
        <w:t>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02.04.2009,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37-38 (10556-10557); </w:t>
      </w:r>
    </w:p>
    <w:p w:rsidR="00000000" w:rsidRDefault="00E257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6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25.12.2009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872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10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14.01.2010,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4-7 (10684-10687); </w:t>
      </w:r>
    </w:p>
    <w:p w:rsidR="00000000" w:rsidRDefault="00E257D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E257D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40" w:lineRule="exact"/>
        <w:ind w:left="0" w:right="-2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852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E257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Минюста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04.09.2013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RU645330002013002). </w:t>
      </w:r>
    </w:p>
    <w:p w:rsidR="00000000" w:rsidRDefault="00E257D3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tabs>
          <w:tab w:val="left" w:pos="4524"/>
        </w:tabs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2.6.1.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E257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257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257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Минюста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19.03.2008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66,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съемки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4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257D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55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E257D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55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57D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607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2.6.2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межведомств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енного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5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2.6.3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2.6.4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40" w:lineRule="exact"/>
        <w:ind w:right="3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2.7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257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арестов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257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2.8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 </w:t>
      </w:r>
    </w:p>
    <w:p w:rsidR="00000000" w:rsidRDefault="00E257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2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разночтение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tabs>
          <w:tab w:val="left" w:pos="600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E257D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</w:t>
      </w:r>
      <w:r>
        <w:rPr>
          <w:rFonts w:ascii="Times New Roman" w:hAnsi="Times New Roman" w:cs="Times New Roman"/>
          <w:color w:val="000000"/>
          <w:sz w:val="28"/>
          <w:szCs w:val="24"/>
        </w:rPr>
        <w:t>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.2.6.1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547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2.9  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необходимыми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обязательными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казываются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съемки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2.10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2.11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</w:t>
      </w:r>
      <w:r>
        <w:rPr>
          <w:rFonts w:ascii="Times New Roman" w:hAnsi="Times New Roman" w:cs="Times New Roman"/>
          <w:color w:val="000000"/>
          <w:sz w:val="28"/>
          <w:szCs w:val="24"/>
        </w:rPr>
        <w:t>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съемки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2.12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tabs>
          <w:tab w:val="left" w:pos="1111"/>
        </w:tabs>
        <w:autoSpaceDE w:val="0"/>
        <w:autoSpaceDN w:val="0"/>
        <w:adjustRightInd w:val="0"/>
        <w:spacing w:before="270" w:after="0" w:line="330" w:lineRule="exact"/>
        <w:ind w:left="41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2.13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помещ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ению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7" w:lineRule="exact"/>
        <w:ind w:right="-3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залу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стендам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образцами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карандаш</w:t>
      </w:r>
      <w:r>
        <w:rPr>
          <w:rFonts w:ascii="Times New Roman" w:hAnsi="Times New Roman" w:cs="Times New Roman"/>
          <w:color w:val="000000"/>
          <w:sz w:val="28"/>
          <w:szCs w:val="24"/>
        </w:rPr>
        <w:t>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25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34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4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57D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-1"/>
          <w:sz w:val="28"/>
          <w:szCs w:val="24"/>
        </w:rPr>
        <w:t>www.pgu.saratov.gov.ru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607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1.3.3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14),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</w:t>
      </w:r>
      <w:r>
        <w:rPr>
          <w:rFonts w:ascii="Times New Roman" w:hAnsi="Times New Roman" w:cs="Times New Roman"/>
          <w:color w:val="000000"/>
          <w:sz w:val="28"/>
          <w:szCs w:val="24"/>
        </w:rPr>
        <w:t>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эмоций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</w:t>
      </w:r>
      <w:r>
        <w:rPr>
          <w:rFonts w:ascii="Times New Roman" w:hAnsi="Times New Roman" w:cs="Times New Roman"/>
          <w:color w:val="000000"/>
          <w:sz w:val="28"/>
          <w:szCs w:val="24"/>
        </w:rPr>
        <w:t>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before="285" w:after="0" w:line="315" w:lineRule="exact"/>
        <w:ind w:left="1114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2.14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2.14.1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4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57D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547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257D3">
      <w:pPr>
        <w:widowControl w:val="0"/>
        <w:autoSpaceDE w:val="0"/>
        <w:autoSpaceDN w:val="0"/>
        <w:adjustRightInd w:val="0"/>
        <w:spacing w:before="270" w:after="0" w:line="330" w:lineRule="exact"/>
        <w:ind w:left="248" w:right="27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tabs>
          <w:tab w:val="left" w:pos="1123"/>
        </w:tabs>
        <w:autoSpaceDE w:val="0"/>
        <w:autoSpaceDN w:val="0"/>
        <w:adjustRightInd w:val="0"/>
        <w:spacing w:before="250" w:after="0" w:line="330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3.2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6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38"/>
        </w:numPr>
        <w:tabs>
          <w:tab w:val="left" w:pos="1123"/>
        </w:tabs>
        <w:autoSpaceDE w:val="0"/>
        <w:autoSpaceDN w:val="0"/>
        <w:adjustRightInd w:val="0"/>
        <w:spacing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E257D3">
      <w:pPr>
        <w:widowControl w:val="0"/>
        <w:autoSpaceDE w:val="0"/>
        <w:autoSpaceDN w:val="0"/>
        <w:adjustRightInd w:val="0"/>
        <w:spacing w:before="285" w:after="0" w:line="315" w:lineRule="exact"/>
        <w:ind w:left="80" w:right="-38"/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3.3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регистрация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обращения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нему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том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числе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</w:p>
    <w:p w:rsidR="00000000" w:rsidRDefault="00E257D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3719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</w:p>
    <w:p w:rsidR="00000000" w:rsidRDefault="00E257D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537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2.6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5" w:lineRule="exact"/>
        <w:ind w:right="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</w:t>
      </w:r>
      <w:r>
        <w:rPr>
          <w:rFonts w:ascii="Times New Roman" w:hAnsi="Times New Roman" w:cs="Times New Roman"/>
          <w:color w:val="000000"/>
          <w:sz w:val="28"/>
          <w:szCs w:val="24"/>
        </w:rPr>
        <w:t>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before="285" w:after="0" w:line="320" w:lineRule="exact"/>
        <w:ind w:left="461" w:right="534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3.4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3" w:lineRule="exact"/>
        <w:ind w:right="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</w:t>
      </w:r>
      <w:r>
        <w:rPr>
          <w:rFonts w:ascii="Times New Roman" w:hAnsi="Times New Roman" w:cs="Times New Roman"/>
          <w:color w:val="000000"/>
          <w:sz w:val="28"/>
          <w:szCs w:val="24"/>
        </w:rPr>
        <w:t>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8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before="285" w:after="0" w:line="320" w:lineRule="exact"/>
        <w:ind w:left="60" w:right="137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3.5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утверж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tabs>
          <w:tab w:val="left" w:pos="5494"/>
        </w:tabs>
        <w:autoSpaceDE w:val="0"/>
        <w:autoSpaceDN w:val="0"/>
        <w:adjustRightInd w:val="0"/>
        <w:spacing w:after="0" w:line="330" w:lineRule="exact"/>
        <w:ind w:left="464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7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факсимильной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7" w:lineRule="exact"/>
        <w:ind w:right="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57D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257D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5" w:lineRule="exact"/>
        <w:ind w:right="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7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257D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</w:t>
      </w:r>
      <w:r>
        <w:rPr>
          <w:rFonts w:ascii="Times New Roman" w:hAnsi="Times New Roman" w:cs="Times New Roman"/>
          <w:color w:val="000000"/>
          <w:sz w:val="28"/>
          <w:szCs w:val="24"/>
        </w:rPr>
        <w:t>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7" w:lineRule="exact"/>
        <w:ind w:right="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</w:t>
      </w:r>
      <w:r>
        <w:rPr>
          <w:rFonts w:ascii="Times New Roman" w:hAnsi="Times New Roman" w:cs="Times New Roman"/>
          <w:color w:val="000000"/>
          <w:sz w:val="28"/>
          <w:szCs w:val="24"/>
        </w:rPr>
        <w:t>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7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6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330" w:lineRule="exact"/>
        <w:ind w:left="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before="245"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5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70" w:after="0" w:line="320" w:lineRule="exact"/>
        <w:ind w:left="346" w:right="373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tabs>
          <w:tab w:val="left" w:pos="8032"/>
        </w:tabs>
        <w:autoSpaceDE w:val="0"/>
        <w:autoSpaceDN w:val="0"/>
        <w:adjustRightInd w:val="0"/>
        <w:spacing w:after="0" w:line="330" w:lineRule="exact"/>
        <w:ind w:left="21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before="285"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5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5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9" w:right="546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E257D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4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3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257D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606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5.7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257D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55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15" w:lineRule="exact"/>
        <w:ind w:left="4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</w:t>
      </w:r>
      <w:r>
        <w:rPr>
          <w:rFonts w:ascii="Times New Roman" w:hAnsi="Times New Roman" w:cs="Times New Roman"/>
          <w:color w:val="000000"/>
          <w:sz w:val="28"/>
          <w:szCs w:val="24"/>
        </w:rPr>
        <w:t>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tabs>
          <w:tab w:val="left" w:pos="1401"/>
          <w:tab w:val="left" w:pos="151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5.7.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30" w:lineRule="exact"/>
        <w:ind w:left="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30" w:lineRule="exact"/>
        <w:ind w:left="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65" w:right="607" w:bottom="660" w:left="1135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77" w:lineRule="exact"/>
        <w:ind w:left="5320" w:right="1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администарции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330" w:lineRule="exact"/>
        <w:ind w:left="40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0" w:lineRule="exact"/>
        <w:ind w:left="557" w:right="1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379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41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7" w:right="622" w:bottom="660" w:left="1440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0" w:lineRule="exact"/>
        <w:ind w:left="-482" w:right="-5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22" w:bottom="720" w:left="1440" w:header="720" w:footer="720" w:gutter="0"/>
          <w:cols w:num="4" w:space="720" w:equalWidth="0">
            <w:col w:w="3830" w:space="-1"/>
            <w:col w:w="3356" w:space="3248"/>
            <w:col w:w="2412" w:space="0"/>
            <w:col w:w="-1"/>
          </w:cols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3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делами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22" w:bottom="720" w:left="1440" w:header="720" w:footer="720" w:gutter="0"/>
          <w:cols w:num="4" w:space="720" w:equalWidth="0">
            <w:col w:w="3662" w:space="-1"/>
            <w:col w:w="2357" w:space="3817"/>
            <w:col w:w="2278" w:space="0"/>
            <w:col w:w="-1"/>
          </w:cols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11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23) </w:t>
      </w:r>
    </w:p>
    <w:p w:rsidR="00000000" w:rsidRDefault="00E257D3">
      <w:pPr>
        <w:widowControl w:val="0"/>
        <w:autoSpaceDE w:val="0"/>
        <w:autoSpaceDN w:val="0"/>
        <w:adjustRightInd w:val="0"/>
        <w:spacing w:before="215" w:after="0" w:line="280" w:lineRule="exact"/>
        <w:ind w:left="6870" w:right="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Резолюция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22" w:bottom="720" w:left="1440" w:header="720" w:footer="720" w:gutter="0"/>
          <w:cols w:space="720" w:equalWidth="0">
            <w:col w:w="9844"/>
          </w:cols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6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22" w:bottom="720" w:left="1440" w:header="720" w:footer="720" w:gutter="0"/>
          <w:cols w:num="3" w:space="720" w:equalWidth="0">
            <w:col w:w="3507" w:space="3827"/>
            <w:col w:w="1649" w:space="0"/>
            <w:col w:w="-1"/>
          </w:cols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1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22" w:bottom="720" w:left="1440" w:header="720" w:footer="720" w:gutter="0"/>
          <w:cols w:num="4" w:space="720" w:equalWidth="0">
            <w:col w:w="3910" w:space="-1"/>
            <w:col w:w="2895" w:space="3409"/>
            <w:col w:w="2487" w:space="0"/>
            <w:col w:w="-1"/>
          </w:cols>
          <w:noEndnote/>
        </w:sect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16"/>
        <w:gridCol w:w="28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57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257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257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E257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2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22" w:bottom="720" w:left="1440" w:header="720" w:footer="720" w:gutter="0"/>
          <w:cols w:space="720" w:equalWidth="0">
            <w:col w:w="9844"/>
          </w:cols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1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0" w:lineRule="exact"/>
        <w:ind w:left="-386" w:right="-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22" w:bottom="720" w:left="1440" w:header="720" w:footer="720" w:gutter="0"/>
          <w:cols w:num="3" w:space="720" w:equalWidth="0">
            <w:col w:w="3886" w:space="2955"/>
            <w:col w:w="2618" w:space="0"/>
            <w:col w:w="-1"/>
          </w:cols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22" w:bottom="720" w:left="1440" w:header="720" w:footer="720" w:gutter="0"/>
          <w:cols w:num="4" w:space="720" w:equalWidth="0">
            <w:col w:w="4001" w:space="-1"/>
            <w:col w:w="2057" w:space="4707"/>
            <w:col w:w="754" w:space="0"/>
            <w:col w:w="-1"/>
          </w:cols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60" w:lineRule="exact"/>
        <w:ind w:left="27" w:right="58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5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2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22" w:bottom="720" w:left="1440" w:header="720" w:footer="720" w:gutter="0"/>
          <w:cols w:space="720" w:equalWidth="0">
            <w:col w:w="9844"/>
          </w:cols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73" w:lineRule="exact"/>
        <w:ind w:left="5320" w:righ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администарции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45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45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45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25" w:lineRule="exact"/>
        <w:ind w:left="566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45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45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25" w:lineRule="exact"/>
        <w:ind w:left="571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E257D3">
      <w:pPr>
        <w:widowControl w:val="0"/>
        <w:autoSpaceDE w:val="0"/>
        <w:autoSpaceDN w:val="0"/>
        <w:adjustRightInd w:val="0"/>
        <w:spacing w:before="215" w:after="0" w:line="285" w:lineRule="exact"/>
        <w:ind w:left="45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000000" w:rsidRDefault="00E257D3">
      <w:pPr>
        <w:widowControl w:val="0"/>
        <w:autoSpaceDE w:val="0"/>
        <w:autoSpaceDN w:val="0"/>
        <w:adjustRightInd w:val="0"/>
        <w:spacing w:before="235" w:after="0" w:line="285" w:lineRule="exact"/>
        <w:ind w:left="45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25" w:lineRule="exact"/>
        <w:ind w:left="506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ОГРН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415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9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9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25" w:lineRule="exact"/>
        <w:ind w:left="379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предполагаемый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9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</w:p>
    <w:p w:rsidR="00000000" w:rsidRDefault="00E257D3">
      <w:pPr>
        <w:widowControl w:val="0"/>
        <w:autoSpaceDE w:val="0"/>
        <w:autoSpaceDN w:val="0"/>
        <w:adjustRightInd w:val="0"/>
        <w:spacing w:before="215" w:after="0" w:line="285" w:lineRule="exact"/>
        <w:ind w:left="9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25" w:lineRule="exact"/>
        <w:ind w:left="379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60" w:lineRule="exact"/>
        <w:ind w:left="970" w:right="2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 ___________________ «______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.»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518" w:bottom="660" w:left="1440" w:header="0" w:footer="0" w:gutter="0"/>
          <w:cols w:space="720"/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77" w:lineRule="exact"/>
        <w:ind w:left="5320" w:right="7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33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4" w:right="38" w:bottom="660" w:left="1440" w:header="0" w:footer="0" w:gutter="0"/>
          <w:cols w:space="720"/>
          <w:noEndnote/>
        </w:sectPr>
      </w:pPr>
    </w:p>
    <w:p w:rsidR="00000000" w:rsidRDefault="00E257D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55" w:lineRule="exact"/>
        <w:ind w:left="528" w:right="-30" w:firstLine="0"/>
        <w:rPr>
          <w:rFonts w:ascii="Times New Roman" w:hAnsi="Times New Roman" w:cs="Times New Roman"/>
          <w:color w:val="000000"/>
          <w:spacing w:val="1"/>
          <w:szCs w:val="24"/>
        </w:r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Список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принятых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Кол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" w:bottom="720" w:left="1440" w:header="720" w:footer="720" w:gutter="0"/>
          <w:cols w:num="4" w:space="720" w:equalWidth="0">
            <w:col w:w="848" w:space="1880"/>
            <w:col w:w="2883" w:space="1933"/>
            <w:col w:w="1867" w:space="0"/>
            <w:col w:w="-1"/>
          </w:cols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55" w:lineRule="exact"/>
        <w:ind w:left="48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25" w:lineRule="exact"/>
        <w:ind w:left="131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 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Принят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: _____________________________________________________________________                                                                                   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25" w:lineRule="exact"/>
        <w:ind w:left="251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" w:bottom="720" w:left="1440" w:header="720" w:footer="720" w:gutter="0"/>
          <w:cols w:space="720" w:equalWidth="0">
            <w:col w:w="10428"/>
          </w:cols>
          <w:noEndnote/>
        </w:sectPr>
      </w:pPr>
    </w:p>
    <w:p w:rsidR="00000000" w:rsidRDefault="00E257D3">
      <w:pPr>
        <w:widowControl w:val="0"/>
        <w:autoSpaceDE w:val="0"/>
        <w:autoSpaceDN w:val="0"/>
        <w:adjustRightInd w:val="0"/>
        <w:spacing w:after="0" w:line="277" w:lineRule="exact"/>
        <w:ind w:left="5320" w:righ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70" w:lineRule="exact"/>
        <w:ind w:left="4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1" w:right="671" w:bottom="660" w:left="1440" w:header="0" w:footer="0" w:gutter="0"/>
          <w:cols w:space="720"/>
          <w:noEndnote/>
        </w:sectPr>
      </w:pPr>
    </w:p>
    <w:p w:rsidR="00000000" w:rsidRDefault="00E257D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85" w:lineRule="exact"/>
        <w:ind w:left="80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25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71" w:bottom="720" w:left="1440" w:header="720" w:footer="720" w:gutter="0"/>
      <w:cols w:num="6" w:space="720" w:equalWidth="0">
        <w:col w:w="1476" w:space="699"/>
        <w:col w:w="1887" w:space="265"/>
        <w:col w:w="1537" w:space="472"/>
        <w:col w:w="1354" w:space="763"/>
        <w:col w:w="948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9F"/>
    <w:multiLevelType w:val="hybridMultilevel"/>
    <w:tmpl w:val="00009C6E"/>
    <w:lvl w:ilvl="0" w:tplc="000021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2E0"/>
    <w:multiLevelType w:val="hybridMultilevel"/>
    <w:tmpl w:val="0000A6A9"/>
    <w:lvl w:ilvl="0" w:tplc="000017CF">
      <w:start w:val="18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3E">
      <w:start w:val="18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D3">
      <w:start w:val="18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B6">
      <w:start w:val="18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43">
      <w:start w:val="18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D">
      <w:start w:val="18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54">
      <w:start w:val="18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78">
      <w:start w:val="18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C3">
      <w:start w:val="18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B19"/>
    <w:multiLevelType w:val="hybridMultilevel"/>
    <w:tmpl w:val="00017F70"/>
    <w:lvl w:ilvl="0" w:tplc="000023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C5E"/>
    <w:multiLevelType w:val="hybridMultilevel"/>
    <w:tmpl w:val="000126EC"/>
    <w:lvl w:ilvl="0" w:tplc="00001C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C9B"/>
    <w:multiLevelType w:val="hybridMultilevel"/>
    <w:tmpl w:val="00001ECB"/>
    <w:lvl w:ilvl="0" w:tplc="00000C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ECD"/>
    <w:multiLevelType w:val="hybridMultilevel"/>
    <w:tmpl w:val="00008B26"/>
    <w:lvl w:ilvl="0" w:tplc="000006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A31"/>
    <w:multiLevelType w:val="hybridMultilevel"/>
    <w:tmpl w:val="000013A2"/>
    <w:lvl w:ilvl="0" w:tplc="000009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70A"/>
    <w:multiLevelType w:val="hybridMultilevel"/>
    <w:tmpl w:val="0000532F"/>
    <w:lvl w:ilvl="0" w:tplc="00001D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9E4"/>
    <w:multiLevelType w:val="hybridMultilevel"/>
    <w:tmpl w:val="0000904C"/>
    <w:lvl w:ilvl="0" w:tplc="000022B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4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3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D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2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9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9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3B12"/>
    <w:multiLevelType w:val="hybridMultilevel"/>
    <w:tmpl w:val="0000C07A"/>
    <w:lvl w:ilvl="0" w:tplc="0000255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9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6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C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A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F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1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8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6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4327"/>
    <w:multiLevelType w:val="hybridMultilevel"/>
    <w:tmpl w:val="0001752E"/>
    <w:lvl w:ilvl="0" w:tplc="000002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B39"/>
    <w:multiLevelType w:val="hybridMultilevel"/>
    <w:tmpl w:val="000008EB"/>
    <w:lvl w:ilvl="0" w:tplc="00000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6601"/>
    <w:multiLevelType w:val="hybridMultilevel"/>
    <w:tmpl w:val="0000B9CA"/>
    <w:lvl w:ilvl="0" w:tplc="000001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98E"/>
    <w:multiLevelType w:val="hybridMultilevel"/>
    <w:tmpl w:val="000040C4"/>
    <w:lvl w:ilvl="0" w:tplc="000001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6C9C"/>
    <w:multiLevelType w:val="hybridMultilevel"/>
    <w:tmpl w:val="000073A8"/>
    <w:lvl w:ilvl="0" w:tplc="0000253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5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0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E60"/>
    <w:multiLevelType w:val="hybridMultilevel"/>
    <w:tmpl w:val="000021CF"/>
    <w:lvl w:ilvl="0" w:tplc="000014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6FFA"/>
    <w:multiLevelType w:val="hybridMultilevel"/>
    <w:tmpl w:val="00011A3A"/>
    <w:lvl w:ilvl="0" w:tplc="000010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78C6"/>
    <w:multiLevelType w:val="hybridMultilevel"/>
    <w:tmpl w:val="00011560"/>
    <w:lvl w:ilvl="0" w:tplc="00000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A93"/>
    <w:multiLevelType w:val="hybridMultilevel"/>
    <w:tmpl w:val="0000D5F4"/>
    <w:lvl w:ilvl="0" w:tplc="000000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8947"/>
    <w:multiLevelType w:val="hybridMultilevel"/>
    <w:tmpl w:val="00003156"/>
    <w:lvl w:ilvl="0" w:tplc="0000132D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DC5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530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C6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578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A2C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0B0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E6A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06D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8BD7"/>
    <w:multiLevelType w:val="hybridMultilevel"/>
    <w:tmpl w:val="00007641"/>
    <w:lvl w:ilvl="0" w:tplc="00000C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9040"/>
    <w:multiLevelType w:val="hybridMultilevel"/>
    <w:tmpl w:val="000097CE"/>
    <w:lvl w:ilvl="0" w:tplc="00001D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922D"/>
    <w:multiLevelType w:val="hybridMultilevel"/>
    <w:tmpl w:val="0000F0B7"/>
    <w:lvl w:ilvl="0" w:tplc="00001A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931F"/>
    <w:multiLevelType w:val="hybridMultilevel"/>
    <w:tmpl w:val="00006D4A"/>
    <w:lvl w:ilvl="0" w:tplc="000013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9483"/>
    <w:multiLevelType w:val="hybridMultilevel"/>
    <w:tmpl w:val="00008BA7"/>
    <w:lvl w:ilvl="0" w:tplc="000019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94C3"/>
    <w:multiLevelType w:val="hybridMultilevel"/>
    <w:tmpl w:val="0000186A"/>
    <w:lvl w:ilvl="0" w:tplc="00000F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9A86"/>
    <w:multiLevelType w:val="hybridMultilevel"/>
    <w:tmpl w:val="00009C77"/>
    <w:lvl w:ilvl="0" w:tplc="000026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9F4B"/>
    <w:multiLevelType w:val="hybridMultilevel"/>
    <w:tmpl w:val="0000A4C8"/>
    <w:lvl w:ilvl="0" w:tplc="00000F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A6A3"/>
    <w:multiLevelType w:val="hybridMultilevel"/>
    <w:tmpl w:val="000052AE"/>
    <w:lvl w:ilvl="0" w:tplc="00001C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A8F0"/>
    <w:multiLevelType w:val="hybridMultilevel"/>
    <w:tmpl w:val="00014489"/>
    <w:lvl w:ilvl="0" w:tplc="00000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B111"/>
    <w:multiLevelType w:val="hybridMultilevel"/>
    <w:tmpl w:val="0000632C"/>
    <w:lvl w:ilvl="0" w:tplc="000017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B269"/>
    <w:multiLevelType w:val="hybridMultilevel"/>
    <w:tmpl w:val="000034F6"/>
    <w:lvl w:ilvl="0" w:tplc="0000013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52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7D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E8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F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B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E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E5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4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C25F"/>
    <w:multiLevelType w:val="hybridMultilevel"/>
    <w:tmpl w:val="000054A3"/>
    <w:lvl w:ilvl="0" w:tplc="00000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0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7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8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6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C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A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D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C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D092"/>
    <w:multiLevelType w:val="hybridMultilevel"/>
    <w:tmpl w:val="00012BCE"/>
    <w:lvl w:ilvl="0" w:tplc="000015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D23F"/>
    <w:multiLevelType w:val="hybridMultilevel"/>
    <w:tmpl w:val="00015D34"/>
    <w:lvl w:ilvl="0" w:tplc="000010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DF88"/>
    <w:multiLevelType w:val="hybridMultilevel"/>
    <w:tmpl w:val="000139F8"/>
    <w:lvl w:ilvl="0" w:tplc="000021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2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A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E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5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5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0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E2C1"/>
    <w:multiLevelType w:val="hybridMultilevel"/>
    <w:tmpl w:val="000082CA"/>
    <w:lvl w:ilvl="0" w:tplc="000005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C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6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E40E"/>
    <w:multiLevelType w:val="hybridMultilevel"/>
    <w:tmpl w:val="00010C90"/>
    <w:lvl w:ilvl="0" w:tplc="000009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E769"/>
    <w:multiLevelType w:val="hybridMultilevel"/>
    <w:tmpl w:val="00000FA4"/>
    <w:lvl w:ilvl="0" w:tplc="0000188B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B9F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2F8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308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1E4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D71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D06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1A1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AD2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E886"/>
    <w:multiLevelType w:val="hybridMultilevel"/>
    <w:tmpl w:val="00006781"/>
    <w:lvl w:ilvl="0" w:tplc="0000203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7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4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7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0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B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C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7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B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0F190"/>
    <w:multiLevelType w:val="hybridMultilevel"/>
    <w:tmpl w:val="0000B5A7"/>
    <w:lvl w:ilvl="0" w:tplc="000021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8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9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F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5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A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6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F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F25D"/>
    <w:multiLevelType w:val="hybridMultilevel"/>
    <w:tmpl w:val="000099D5"/>
    <w:lvl w:ilvl="0" w:tplc="000012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F7B1"/>
    <w:multiLevelType w:val="hybridMultilevel"/>
    <w:tmpl w:val="00014B8D"/>
    <w:lvl w:ilvl="0" w:tplc="00001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FAEB"/>
    <w:multiLevelType w:val="hybridMultilevel"/>
    <w:tmpl w:val="00002A25"/>
    <w:lvl w:ilvl="0" w:tplc="0000135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9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F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D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D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A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2729"/>
    <w:multiLevelType w:val="hybridMultilevel"/>
    <w:tmpl w:val="0000D850"/>
    <w:lvl w:ilvl="0" w:tplc="00001C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29BB"/>
    <w:multiLevelType w:val="hybridMultilevel"/>
    <w:tmpl w:val="000126DB"/>
    <w:lvl w:ilvl="0" w:tplc="000024B4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869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9AF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07C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B5F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71A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467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FF0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F33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6">
    <w:nsid w:val="00012B2D"/>
    <w:multiLevelType w:val="hybridMultilevel"/>
    <w:tmpl w:val="0000CB8E"/>
    <w:lvl w:ilvl="0" w:tplc="000008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35BB"/>
    <w:multiLevelType w:val="hybridMultilevel"/>
    <w:tmpl w:val="000022DF"/>
    <w:lvl w:ilvl="0" w:tplc="00001D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7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395A"/>
    <w:multiLevelType w:val="hybridMultilevel"/>
    <w:tmpl w:val="0000F521"/>
    <w:lvl w:ilvl="0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39D3"/>
    <w:multiLevelType w:val="hybridMultilevel"/>
    <w:tmpl w:val="00008352"/>
    <w:lvl w:ilvl="0" w:tplc="00000A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41A0"/>
    <w:multiLevelType w:val="hybridMultilevel"/>
    <w:tmpl w:val="00002003"/>
    <w:lvl w:ilvl="0" w:tplc="00000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3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C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8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C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D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E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1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E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15DEB"/>
    <w:multiLevelType w:val="hybridMultilevel"/>
    <w:tmpl w:val="00004DE7"/>
    <w:lvl w:ilvl="0" w:tplc="000006B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D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D2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49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F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7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A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BC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0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1600E"/>
    <w:multiLevelType w:val="hybridMultilevel"/>
    <w:tmpl w:val="000094FF"/>
    <w:lvl w:ilvl="0" w:tplc="0000063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6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8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69C5"/>
    <w:multiLevelType w:val="hybridMultilevel"/>
    <w:tmpl w:val="0000A2D8"/>
    <w:lvl w:ilvl="0" w:tplc="000010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6C1B"/>
    <w:multiLevelType w:val="hybridMultilevel"/>
    <w:tmpl w:val="00009459"/>
    <w:lvl w:ilvl="0" w:tplc="00001D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8546"/>
    <w:multiLevelType w:val="hybridMultilevel"/>
    <w:tmpl w:val="0000A3C8"/>
    <w:lvl w:ilvl="0" w:tplc="00000D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7"/>
  </w:num>
  <w:num w:numId="2">
    <w:abstractNumId w:val="40"/>
  </w:num>
  <w:num w:numId="3">
    <w:abstractNumId w:val="52"/>
  </w:num>
  <w:num w:numId="4">
    <w:abstractNumId w:val="15"/>
  </w:num>
  <w:num w:numId="5">
    <w:abstractNumId w:val="0"/>
  </w:num>
  <w:num w:numId="6">
    <w:abstractNumId w:val="45"/>
  </w:num>
  <w:num w:numId="7">
    <w:abstractNumId w:val="53"/>
  </w:num>
  <w:num w:numId="8">
    <w:abstractNumId w:val="6"/>
  </w:num>
  <w:num w:numId="9">
    <w:abstractNumId w:val="46"/>
  </w:num>
  <w:num w:numId="10">
    <w:abstractNumId w:val="24"/>
  </w:num>
  <w:num w:numId="11">
    <w:abstractNumId w:val="33"/>
  </w:num>
  <w:num w:numId="12">
    <w:abstractNumId w:val="10"/>
  </w:num>
  <w:num w:numId="13">
    <w:abstractNumId w:val="7"/>
  </w:num>
  <w:num w:numId="14">
    <w:abstractNumId w:val="20"/>
  </w:num>
  <w:num w:numId="15">
    <w:abstractNumId w:val="13"/>
  </w:num>
  <w:num w:numId="16">
    <w:abstractNumId w:val="22"/>
  </w:num>
  <w:num w:numId="17">
    <w:abstractNumId w:val="1"/>
  </w:num>
  <w:num w:numId="18">
    <w:abstractNumId w:val="4"/>
  </w:num>
  <w:num w:numId="19">
    <w:abstractNumId w:val="42"/>
  </w:num>
  <w:num w:numId="20">
    <w:abstractNumId w:val="26"/>
  </w:num>
  <w:num w:numId="21">
    <w:abstractNumId w:val="28"/>
  </w:num>
  <w:num w:numId="22">
    <w:abstractNumId w:val="2"/>
  </w:num>
  <w:num w:numId="23">
    <w:abstractNumId w:val="50"/>
  </w:num>
  <w:num w:numId="24">
    <w:abstractNumId w:val="21"/>
  </w:num>
  <w:num w:numId="25">
    <w:abstractNumId w:val="43"/>
  </w:num>
  <w:num w:numId="26">
    <w:abstractNumId w:val="29"/>
  </w:num>
  <w:num w:numId="27">
    <w:abstractNumId w:val="16"/>
  </w:num>
  <w:num w:numId="28">
    <w:abstractNumId w:val="30"/>
  </w:num>
  <w:num w:numId="29">
    <w:abstractNumId w:val="12"/>
  </w:num>
  <w:num w:numId="30">
    <w:abstractNumId w:val="11"/>
  </w:num>
  <w:num w:numId="31">
    <w:abstractNumId w:val="39"/>
  </w:num>
  <w:num w:numId="32">
    <w:abstractNumId w:val="55"/>
  </w:num>
  <w:num w:numId="33">
    <w:abstractNumId w:val="51"/>
  </w:num>
  <w:num w:numId="34">
    <w:abstractNumId w:val="31"/>
  </w:num>
  <w:num w:numId="35">
    <w:abstractNumId w:val="27"/>
  </w:num>
  <w:num w:numId="36">
    <w:abstractNumId w:val="17"/>
  </w:num>
  <w:num w:numId="37">
    <w:abstractNumId w:val="41"/>
  </w:num>
  <w:num w:numId="38">
    <w:abstractNumId w:val="49"/>
  </w:num>
  <w:num w:numId="39">
    <w:abstractNumId w:val="18"/>
  </w:num>
  <w:num w:numId="40">
    <w:abstractNumId w:val="32"/>
  </w:num>
  <w:num w:numId="41">
    <w:abstractNumId w:val="9"/>
  </w:num>
  <w:num w:numId="42">
    <w:abstractNumId w:val="37"/>
  </w:num>
  <w:num w:numId="43">
    <w:abstractNumId w:val="23"/>
  </w:num>
  <w:num w:numId="44">
    <w:abstractNumId w:val="54"/>
  </w:num>
  <w:num w:numId="45">
    <w:abstractNumId w:val="48"/>
  </w:num>
  <w:num w:numId="46">
    <w:abstractNumId w:val="25"/>
  </w:num>
  <w:num w:numId="47">
    <w:abstractNumId w:val="44"/>
  </w:num>
  <w:num w:numId="48">
    <w:abstractNumId w:val="19"/>
  </w:num>
  <w:num w:numId="49">
    <w:abstractNumId w:val="14"/>
  </w:num>
  <w:num w:numId="50">
    <w:abstractNumId w:val="34"/>
  </w:num>
  <w:num w:numId="51">
    <w:abstractNumId w:val="38"/>
  </w:num>
  <w:num w:numId="52">
    <w:abstractNumId w:val="35"/>
  </w:num>
  <w:num w:numId="53">
    <w:abstractNumId w:val="8"/>
  </w:num>
  <w:num w:numId="54">
    <w:abstractNumId w:val="5"/>
  </w:num>
  <w:num w:numId="55">
    <w:abstractNumId w:val="36"/>
  </w:num>
  <w:num w:numId="56">
    <w:abstractNumId w:val="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257D3"/>
    <w:rsid w:val="00E2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6720</Words>
  <Characters>38309</Characters>
  <Application>Microsoft Office Word</Application>
  <DocSecurity>4</DocSecurity>
  <Lines>319</Lines>
  <Paragraphs>89</Paragraphs>
  <ScaleCrop>false</ScaleCrop>
  <Company/>
  <LinksUpToDate>false</LinksUpToDate>
  <CharactersWithSpaces>44940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2016-03-28T12:30:00Z</dcterms:created>
  <dcterms:modified xsi:type="dcterms:W3CDTF">2016-03-28T12:30:00Z</dcterms:modified>
</cp:coreProperties>
</file>