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-843280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1748" w:right="144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before="23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  </w:t>
      </w:r>
    </w:p>
    <w:p w:rsidR="00000000" w:rsidRDefault="002E1F47">
      <w:pPr>
        <w:widowControl w:val="0"/>
        <w:autoSpaceDE w:val="0"/>
        <w:autoSpaceDN w:val="0"/>
        <w:adjustRightInd w:val="0"/>
        <w:spacing w:before="4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1391 </w:t>
      </w:r>
    </w:p>
    <w:p w:rsidR="00000000" w:rsidRDefault="002E1F47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262" w:right="251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18.04.2011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227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tabs>
          <w:tab w:val="left" w:pos="993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2E1F47">
      <w:pPr>
        <w:widowControl w:val="0"/>
        <w:numPr>
          <w:ilvl w:val="0"/>
          <w:numId w:val="3"/>
        </w:numPr>
        <w:tabs>
          <w:tab w:val="left" w:pos="432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tabs>
          <w:tab w:val="left" w:pos="980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557),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.5.4.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2E1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4" w:right="422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6765" w:right="-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68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22.10.2013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1391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680" w:right="4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E1F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жанрах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413210,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</w:t>
      </w:r>
      <w:r>
        <w:rPr>
          <w:rFonts w:ascii="Times New Roman" w:hAnsi="Times New Roman" w:cs="Times New Roman"/>
          <w:color w:val="000000"/>
          <w:sz w:val="28"/>
          <w:szCs w:val="24"/>
        </w:rPr>
        <w:t>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(84566) 5 09 53;  5 09 73; 5 02 04.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mukthkssovetskogo@yandex.ru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>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494" w:bottom="629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8862060</wp:posOffset>
            </wp:positionV>
            <wp:extent cx="194945" cy="2178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9488805</wp:posOffset>
            </wp:positionV>
            <wp:extent cx="194945" cy="2178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9706610</wp:posOffset>
            </wp:positionV>
            <wp:extent cx="194945" cy="2178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сняв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2E1F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5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98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before="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982" w:right="9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27" w:lineRule="exact"/>
        <w:ind w:left="98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274955</wp:posOffset>
            </wp:positionV>
            <wp:extent cx="194945" cy="2178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2332355</wp:posOffset>
            </wp:positionV>
            <wp:extent cx="194945" cy="21780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2550160</wp:posOffset>
            </wp:positionV>
            <wp:extent cx="194945" cy="21780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2766695</wp:posOffset>
            </wp:positionV>
            <wp:extent cx="194945" cy="2178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2985135</wp:posOffset>
            </wp:positionV>
            <wp:extent cx="194945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5626100</wp:posOffset>
            </wp:positionV>
            <wp:extent cx="194945" cy="21844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5844540</wp:posOffset>
            </wp:positionV>
            <wp:extent cx="194945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6060440</wp:posOffset>
            </wp:positionV>
            <wp:extent cx="194945" cy="21844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7914005</wp:posOffset>
            </wp:positionV>
            <wp:extent cx="194945" cy="21844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8336280</wp:posOffset>
            </wp:positionV>
            <wp:extent cx="194945" cy="2178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8961120</wp:posOffset>
            </wp:positionV>
            <wp:extent cx="194945" cy="21780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9587865</wp:posOffset>
            </wp:positionV>
            <wp:extent cx="194945" cy="21780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(http://rdk64.ucoz.ru).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12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62" w:right="3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http://www.gosuslugi.ru/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70" w:right="2119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before="5" w:after="0" w:line="340" w:lineRule="exact"/>
        <w:ind w:left="982" w:right="13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970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21.01.2009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98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09.10.1992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3612-1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17.11.1992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98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202);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8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4061);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5" w:bottom="506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98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684530</wp:posOffset>
            </wp:positionV>
            <wp:extent cx="194945" cy="21780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7" w:lineRule="exact"/>
        <w:ind w:left="98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муниципальногорайонаот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803);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2E1F4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2.8.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5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злоупотробления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опьянении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огнеопасные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взрывчатые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пахучие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крупногабаритные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стеклюную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форс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5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2427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2427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2.13.4.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2.13.7.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401" w:left="1440" w:header="0" w:footer="0" w:gutter="0"/>
          <w:cols w:space="720"/>
          <w:noEndnote/>
        </w:sectPr>
      </w:pPr>
    </w:p>
    <w:p w:rsidR="00000000" w:rsidRDefault="002E1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7054850</wp:posOffset>
            </wp:positionV>
            <wp:extent cx="194945" cy="21844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7273290</wp:posOffset>
            </wp:positionV>
            <wp:extent cx="194945" cy="21780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7694295</wp:posOffset>
            </wp:positionV>
            <wp:extent cx="194945" cy="21780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1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1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1F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1F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E1F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1F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70"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982" w:right="3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b/>
          <w:color w:val="000000"/>
          <w:spacing w:val="-1"/>
          <w:sz w:val="1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5" w:right="430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5135245</wp:posOffset>
            </wp:positionV>
            <wp:extent cx="194945" cy="21780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6986905</wp:posOffset>
            </wp:positionV>
            <wp:extent cx="194945" cy="21780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7409180</wp:posOffset>
            </wp:positionV>
            <wp:extent cx="194945" cy="21844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3.2.4.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3.2.5.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</w:t>
      </w:r>
      <w:r>
        <w:rPr>
          <w:rFonts w:ascii="Times New Roman" w:hAnsi="Times New Roman" w:cs="Times New Roman"/>
          <w:color w:val="000000"/>
          <w:sz w:val="28"/>
          <w:szCs w:val="24"/>
        </w:rPr>
        <w:t>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3.2.8.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3.3.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3.3.2.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before="5"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3.3.7.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0" w:right="436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высылает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3.4.7.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E1F4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4.1.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E1F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E1F4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спектаклей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1F4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E1F4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401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E1F4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интервьюирование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90" w:after="0" w:line="320" w:lineRule="exact"/>
        <w:ind w:left="288" w:right="-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2E1F4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16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</w:p>
    <w:p w:rsidR="00000000" w:rsidRDefault="002E1F4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5" w:bottom="401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3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E1F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tabs>
          <w:tab w:val="left" w:pos="1749"/>
          <w:tab w:val="left" w:pos="195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tabs>
          <w:tab w:val="left" w:pos="1428"/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5.11.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27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E1F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5843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5843" w:right="8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43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2763" w:right="2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61" w:bottom="54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before="75"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20" w:lineRule="exact"/>
        <w:ind w:left="317" w:righ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4 5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940" w:lineRule="exact"/>
        <w:ind w:left="317" w:righ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7 8 9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660" w:lineRule="exact"/>
        <w:ind w:right="5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hAnsi="Times New Roman" w:cs="Times New Roman"/>
          <w:color w:val="000000"/>
          <w:sz w:val="24"/>
          <w:szCs w:val="24"/>
        </w:rPr>
        <w:t>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20" w:lineRule="exact"/>
        <w:ind w:right="5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Новокривовский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940" w:lineRule="exact"/>
        <w:ind w:right="1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73" w:lineRule="exact"/>
        <w:ind w:right="-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10.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5-09- 73 </w:t>
      </w:r>
    </w:p>
    <w:p w:rsidR="00000000" w:rsidRDefault="002E1F47">
      <w:pPr>
        <w:widowControl w:val="0"/>
        <w:autoSpaceDE w:val="0"/>
        <w:autoSpaceDN w:val="0"/>
        <w:adjustRightInd w:val="0"/>
        <w:spacing w:before="75" w:after="0" w:line="27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6-41-37 </w:t>
      </w:r>
    </w:p>
    <w:p w:rsidR="00000000" w:rsidRDefault="002E1F47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13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6-83-31 </w:t>
      </w:r>
    </w:p>
    <w:p w:rsidR="00000000" w:rsidRDefault="002E1F47">
      <w:pPr>
        <w:widowControl w:val="0"/>
        <w:autoSpaceDE w:val="0"/>
        <w:autoSpaceDN w:val="0"/>
        <w:adjustRightInd w:val="0"/>
        <w:spacing w:before="55"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.6-22-56 </w:t>
      </w:r>
    </w:p>
    <w:p w:rsidR="00000000" w:rsidRDefault="002E1F47">
      <w:pPr>
        <w:widowControl w:val="0"/>
        <w:autoSpaceDE w:val="0"/>
        <w:autoSpaceDN w:val="0"/>
        <w:adjustRightInd w:val="0"/>
        <w:spacing w:before="75" w:after="0" w:line="280" w:lineRule="exact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>, 22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6-31-37 </w:t>
      </w:r>
    </w:p>
    <w:p w:rsidR="00000000" w:rsidRDefault="002E1F47">
      <w:pPr>
        <w:widowControl w:val="0"/>
        <w:autoSpaceDE w:val="0"/>
        <w:autoSpaceDN w:val="0"/>
        <w:adjustRightInd w:val="0"/>
        <w:spacing w:before="75" w:after="0" w:line="27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14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6-51-46 </w:t>
      </w:r>
    </w:p>
    <w:p w:rsidR="00000000" w:rsidRDefault="002E1F47">
      <w:pPr>
        <w:widowControl w:val="0"/>
        <w:autoSpaceDE w:val="0"/>
        <w:autoSpaceDN w:val="0"/>
        <w:adjustRightInd w:val="0"/>
        <w:spacing w:before="55" w:after="0" w:line="28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4. </w:t>
      </w:r>
    </w:p>
    <w:p w:rsidR="00000000" w:rsidRDefault="002E1F47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</w:p>
    <w:p w:rsidR="00000000" w:rsidRDefault="002E1F47">
      <w:pPr>
        <w:widowControl w:val="0"/>
        <w:autoSpaceDE w:val="0"/>
        <w:autoSpaceDN w:val="0"/>
        <w:adjustRightInd w:val="0"/>
        <w:spacing w:before="55" w:after="0" w:line="280" w:lineRule="exact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1" w:bottom="720" w:left="1440" w:header="720" w:footer="720" w:gutter="0"/>
          <w:cols w:num="4" w:space="720" w:equalWidth="0">
            <w:col w:w="634" w:space="358"/>
            <w:col w:w="4446" w:space="821"/>
            <w:col w:w="3488" w:space="0"/>
            <w:col w:w="-1"/>
          </w:cols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62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1"/>
        <w:gridCol w:w="3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6-11-37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317"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киновидеообслуживанию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6258" w:right="2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5-02- 04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2" w:right="713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АКБ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5-02-04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3" w:bottom="720" w:left="1440" w:header="720" w:footer="720" w:gutter="0"/>
          <w:cols w:num="3" w:space="720" w:equalWidth="0">
            <w:col w:w="5773" w:space="485"/>
            <w:col w:w="3495" w:space="0"/>
            <w:col w:w="-1"/>
          </w:cols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E1F4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5843" w:right="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500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5183" w:righ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60" w:lineRule="exact"/>
        <w:ind w:left="5123" w:right="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40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27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64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2E1F4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5843" w:right="6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0" w:lineRule="exact"/>
        <w:ind w:left="5843" w:right="1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30" w:lineRule="exact"/>
        <w:ind w:left="43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7" w:lineRule="exact"/>
        <w:ind w:left="387" w:right="5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20" w:lineRule="exact"/>
        <w:ind w:left="262" w:right="-17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костюмов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сарафан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косоворотки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тренажерного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кепки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фуражки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атрибутов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20" w:lineRule="exact"/>
        <w:ind w:left="262" w:right="478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спектаклей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театрализованных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цирковых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507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сценарных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2E1F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8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18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5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E1F4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5" w:lineRule="exact"/>
        <w:ind w:left="555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5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70" w:lineRule="exact"/>
        <w:ind w:left="5557" w:right="6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92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783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left="636" w:right="4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2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4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28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2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30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42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8"/>
        <w:gridCol w:w="2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E1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9" w:right="600" w:bottom="660" w:left="1440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2E1F4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5" w:lineRule="exact"/>
        <w:ind w:left="558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85" w:lineRule="exact"/>
        <w:ind w:left="55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70" w:lineRule="exact"/>
        <w:ind w:left="5581" w:right="6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41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19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9" w:right="600" w:bottom="660" w:left="1416" w:header="0" w:footer="0" w:gutter="0"/>
          <w:cols w:space="720"/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00" w:bottom="720" w:left="1416" w:header="720" w:footer="720" w:gutter="0"/>
          <w:cols w:num="3" w:space="720" w:equalWidth="0">
            <w:col w:w="1885" w:space="1094"/>
            <w:col w:w="2113" w:space="0"/>
            <w:col w:w="-1"/>
          </w:cols>
          <w:noEndnote/>
        </w:sectPr>
      </w:pP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20" w:lineRule="exact"/>
        <w:ind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32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315" w:lineRule="exact"/>
        <w:ind w:left="7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E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00" w:bottom="720" w:left="1416" w:header="720" w:footer="720" w:gutter="0"/>
      <w:cols w:space="720" w:equalWidth="0">
        <w:col w:w="98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DD"/>
    <w:multiLevelType w:val="hybridMultilevel"/>
    <w:tmpl w:val="00011462"/>
    <w:lvl w:ilvl="0" w:tplc="000024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D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4F7"/>
    <w:multiLevelType w:val="hybridMultilevel"/>
    <w:tmpl w:val="00000D3A"/>
    <w:lvl w:ilvl="0" w:tplc="000016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5A5"/>
    <w:multiLevelType w:val="hybridMultilevel"/>
    <w:tmpl w:val="00005405"/>
    <w:lvl w:ilvl="0" w:tplc="00000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7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17F"/>
    <w:multiLevelType w:val="hybridMultilevel"/>
    <w:tmpl w:val="00013E44"/>
    <w:lvl w:ilvl="0" w:tplc="00001F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D6C"/>
    <w:multiLevelType w:val="hybridMultilevel"/>
    <w:tmpl w:val="000083D4"/>
    <w:lvl w:ilvl="0" w:tplc="0000192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C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7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6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3B1"/>
    <w:multiLevelType w:val="hybridMultilevel"/>
    <w:tmpl w:val="0000B21F"/>
    <w:lvl w:ilvl="0" w:tplc="000012E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E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60A"/>
    <w:multiLevelType w:val="hybridMultilevel"/>
    <w:tmpl w:val="00002B31"/>
    <w:lvl w:ilvl="0" w:tplc="000014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F04"/>
    <w:multiLevelType w:val="hybridMultilevel"/>
    <w:tmpl w:val="0000B8DB"/>
    <w:lvl w:ilvl="0" w:tplc="0000016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FA3"/>
    <w:multiLevelType w:val="hybridMultilevel"/>
    <w:tmpl w:val="0000FBD7"/>
    <w:lvl w:ilvl="0" w:tplc="000013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050"/>
    <w:multiLevelType w:val="hybridMultilevel"/>
    <w:tmpl w:val="00000B64"/>
    <w:lvl w:ilvl="0" w:tplc="0000258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5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2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5485"/>
    <w:multiLevelType w:val="hybridMultilevel"/>
    <w:tmpl w:val="00005200"/>
    <w:lvl w:ilvl="0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8A9"/>
    <w:multiLevelType w:val="hybridMultilevel"/>
    <w:tmpl w:val="0000FF08"/>
    <w:lvl w:ilvl="0" w:tplc="00000A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7F6"/>
    <w:multiLevelType w:val="hybridMultilevel"/>
    <w:tmpl w:val="00004BD3"/>
    <w:lvl w:ilvl="0" w:tplc="00001A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817"/>
    <w:multiLevelType w:val="hybridMultilevel"/>
    <w:tmpl w:val="00003B33"/>
    <w:lvl w:ilvl="0" w:tplc="000010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DA3"/>
    <w:multiLevelType w:val="hybridMultilevel"/>
    <w:tmpl w:val="000144EA"/>
    <w:lvl w:ilvl="0" w:tplc="00001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D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5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8F5"/>
    <w:multiLevelType w:val="hybridMultilevel"/>
    <w:tmpl w:val="00012730"/>
    <w:lvl w:ilvl="0" w:tplc="00000D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0D5"/>
    <w:multiLevelType w:val="hybridMultilevel"/>
    <w:tmpl w:val="000031F8"/>
    <w:lvl w:ilvl="0" w:tplc="00001C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41B"/>
    <w:multiLevelType w:val="hybridMultilevel"/>
    <w:tmpl w:val="0000FB98"/>
    <w:lvl w:ilvl="0" w:tplc="00001F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499"/>
    <w:multiLevelType w:val="hybridMultilevel"/>
    <w:tmpl w:val="00014F35"/>
    <w:lvl w:ilvl="0" w:tplc="000014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9E8"/>
    <w:multiLevelType w:val="hybridMultilevel"/>
    <w:tmpl w:val="00013B81"/>
    <w:lvl w:ilvl="0" w:tplc="00000E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F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3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8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B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1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A6D9"/>
    <w:multiLevelType w:val="hybridMultilevel"/>
    <w:tmpl w:val="00013AB8"/>
    <w:lvl w:ilvl="0" w:tplc="00002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D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B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A86B"/>
    <w:multiLevelType w:val="hybridMultilevel"/>
    <w:tmpl w:val="000177C0"/>
    <w:lvl w:ilvl="0" w:tplc="00000B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1CB"/>
    <w:multiLevelType w:val="hybridMultilevel"/>
    <w:tmpl w:val="0000DD9F"/>
    <w:lvl w:ilvl="0" w:tplc="00001D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D38"/>
    <w:multiLevelType w:val="hybridMultilevel"/>
    <w:tmpl w:val="00007888"/>
    <w:lvl w:ilvl="0" w:tplc="00000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417"/>
    <w:multiLevelType w:val="hybridMultilevel"/>
    <w:tmpl w:val="00005980"/>
    <w:lvl w:ilvl="0" w:tplc="000024C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E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CD9D"/>
    <w:multiLevelType w:val="hybridMultilevel"/>
    <w:tmpl w:val="00002BCF"/>
    <w:lvl w:ilvl="0" w:tplc="0000255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0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3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3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CF93"/>
    <w:multiLevelType w:val="hybridMultilevel"/>
    <w:tmpl w:val="0000B46D"/>
    <w:lvl w:ilvl="0" w:tplc="000013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D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0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7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9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D4ED"/>
    <w:multiLevelType w:val="hybridMultilevel"/>
    <w:tmpl w:val="000178FC"/>
    <w:lvl w:ilvl="0" w:tplc="0000016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F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0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A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807"/>
    <w:multiLevelType w:val="hybridMultilevel"/>
    <w:tmpl w:val="00012167"/>
    <w:lvl w:ilvl="0" w:tplc="000008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F64F"/>
    <w:multiLevelType w:val="hybridMultilevel"/>
    <w:tmpl w:val="00005379"/>
    <w:lvl w:ilvl="0" w:tplc="000015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00C9"/>
    <w:multiLevelType w:val="hybridMultilevel"/>
    <w:tmpl w:val="00003313"/>
    <w:lvl w:ilvl="0" w:tplc="0000050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B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0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8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3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E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0F2F"/>
    <w:multiLevelType w:val="hybridMultilevel"/>
    <w:tmpl w:val="000170DB"/>
    <w:lvl w:ilvl="0" w:tplc="00001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3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124E"/>
    <w:multiLevelType w:val="hybridMultilevel"/>
    <w:tmpl w:val="0001643C"/>
    <w:lvl w:ilvl="0" w:tplc="000007EE">
      <w:start w:val="2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5">
      <w:start w:val="24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0">
      <w:start w:val="24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A9">
      <w:start w:val="24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A">
      <w:start w:val="24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4A">
      <w:start w:val="24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1">
      <w:start w:val="24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C">
      <w:start w:val="24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C">
      <w:start w:val="24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146A"/>
    <w:multiLevelType w:val="hybridMultilevel"/>
    <w:tmpl w:val="00002014"/>
    <w:lvl w:ilvl="0" w:tplc="000019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115"/>
    <w:multiLevelType w:val="hybridMultilevel"/>
    <w:tmpl w:val="00009058"/>
    <w:lvl w:ilvl="0" w:tplc="000020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40C8"/>
    <w:multiLevelType w:val="hybridMultilevel"/>
    <w:tmpl w:val="00001EB1"/>
    <w:lvl w:ilvl="0" w:tplc="000023C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A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4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42E3"/>
    <w:multiLevelType w:val="hybridMultilevel"/>
    <w:tmpl w:val="000000F8"/>
    <w:lvl w:ilvl="0" w:tplc="0000194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C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7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5837"/>
    <w:multiLevelType w:val="hybridMultilevel"/>
    <w:tmpl w:val="00004F7D"/>
    <w:lvl w:ilvl="0" w:tplc="00002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6D91"/>
    <w:multiLevelType w:val="hybridMultilevel"/>
    <w:tmpl w:val="00007BBB"/>
    <w:lvl w:ilvl="0" w:tplc="000025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6F97"/>
    <w:multiLevelType w:val="hybridMultilevel"/>
    <w:tmpl w:val="00009DEF"/>
    <w:lvl w:ilvl="0" w:tplc="00000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71E9"/>
    <w:multiLevelType w:val="hybridMultilevel"/>
    <w:tmpl w:val="000103B2"/>
    <w:lvl w:ilvl="0" w:tplc="00001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7DE9"/>
    <w:multiLevelType w:val="hybridMultilevel"/>
    <w:tmpl w:val="00003E72"/>
    <w:lvl w:ilvl="0" w:tplc="00000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34"/>
  </w:num>
  <w:num w:numId="3">
    <w:abstractNumId w:val="1"/>
  </w:num>
  <w:num w:numId="4">
    <w:abstractNumId w:val="27"/>
  </w:num>
  <w:num w:numId="5">
    <w:abstractNumId w:val="41"/>
  </w:num>
  <w:num w:numId="6">
    <w:abstractNumId w:val="14"/>
  </w:num>
  <w:num w:numId="7">
    <w:abstractNumId w:val="16"/>
  </w:num>
  <w:num w:numId="8">
    <w:abstractNumId w:val="26"/>
  </w:num>
  <w:num w:numId="9">
    <w:abstractNumId w:val="2"/>
  </w:num>
  <w:num w:numId="10">
    <w:abstractNumId w:val="9"/>
  </w:num>
  <w:num w:numId="11">
    <w:abstractNumId w:val="19"/>
  </w:num>
  <w:num w:numId="12">
    <w:abstractNumId w:val="36"/>
  </w:num>
  <w:num w:numId="13">
    <w:abstractNumId w:val="15"/>
  </w:num>
  <w:num w:numId="14">
    <w:abstractNumId w:val="32"/>
  </w:num>
  <w:num w:numId="15">
    <w:abstractNumId w:val="37"/>
  </w:num>
  <w:num w:numId="16">
    <w:abstractNumId w:val="8"/>
  </w:num>
  <w:num w:numId="17">
    <w:abstractNumId w:val="0"/>
  </w:num>
  <w:num w:numId="18">
    <w:abstractNumId w:val="22"/>
  </w:num>
  <w:num w:numId="19">
    <w:abstractNumId w:val="3"/>
  </w:num>
  <w:num w:numId="20">
    <w:abstractNumId w:val="12"/>
  </w:num>
  <w:num w:numId="21">
    <w:abstractNumId w:val="18"/>
  </w:num>
  <w:num w:numId="22">
    <w:abstractNumId w:val="23"/>
  </w:num>
  <w:num w:numId="23">
    <w:abstractNumId w:val="4"/>
  </w:num>
  <w:num w:numId="24">
    <w:abstractNumId w:val="13"/>
  </w:num>
  <w:num w:numId="25">
    <w:abstractNumId w:val="40"/>
  </w:num>
  <w:num w:numId="26">
    <w:abstractNumId w:val="30"/>
  </w:num>
  <w:num w:numId="27">
    <w:abstractNumId w:val="24"/>
  </w:num>
  <w:num w:numId="28">
    <w:abstractNumId w:val="21"/>
  </w:num>
  <w:num w:numId="29">
    <w:abstractNumId w:val="7"/>
  </w:num>
  <w:num w:numId="30">
    <w:abstractNumId w:val="11"/>
  </w:num>
  <w:num w:numId="31">
    <w:abstractNumId w:val="10"/>
  </w:num>
  <w:num w:numId="32">
    <w:abstractNumId w:val="25"/>
  </w:num>
  <w:num w:numId="33">
    <w:abstractNumId w:val="35"/>
  </w:num>
  <w:num w:numId="34">
    <w:abstractNumId w:val="5"/>
  </w:num>
  <w:num w:numId="35">
    <w:abstractNumId w:val="39"/>
  </w:num>
  <w:num w:numId="36">
    <w:abstractNumId w:val="31"/>
  </w:num>
  <w:num w:numId="37">
    <w:abstractNumId w:val="38"/>
  </w:num>
  <w:num w:numId="38">
    <w:abstractNumId w:val="33"/>
  </w:num>
  <w:num w:numId="39">
    <w:abstractNumId w:val="28"/>
  </w:num>
  <w:num w:numId="40">
    <w:abstractNumId w:val="20"/>
  </w:num>
  <w:num w:numId="41">
    <w:abstractNumId w:val="2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E1F47"/>
    <w:rsid w:val="002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5444</Words>
  <Characters>31031</Characters>
  <Application>Microsoft Office Word</Application>
  <DocSecurity>4</DocSecurity>
  <Lines>258</Lines>
  <Paragraphs>72</Paragraphs>
  <ScaleCrop>false</ScaleCrop>
  <Company/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