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1B3F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-842010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20" w:lineRule="exact"/>
        <w:ind w:left="1745" w:right="146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701B3F">
      <w:pPr>
        <w:widowControl w:val="0"/>
        <w:tabs>
          <w:tab w:val="left" w:pos="7265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before="285"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19.09.2012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880 </w:t>
      </w:r>
    </w:p>
    <w:p w:rsidR="00000000" w:rsidRDefault="00701B3F">
      <w:pPr>
        <w:widowControl w:val="0"/>
        <w:autoSpaceDE w:val="0"/>
        <w:autoSpaceDN w:val="0"/>
        <w:adjustRightInd w:val="0"/>
        <w:spacing w:before="95" w:after="0" w:line="225" w:lineRule="exact"/>
        <w:ind w:left="451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before="170" w:after="0" w:line="320" w:lineRule="exact"/>
        <w:ind w:left="262" w:right="164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вакантных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01B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</w:p>
    <w:p w:rsidR="00000000" w:rsidRDefault="00701B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органах</w:t>
      </w:r>
    </w:p>
    <w:p w:rsidR="00000000" w:rsidRDefault="00701B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5"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02.03.2007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02.08.2007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157-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01B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96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вакантных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</w:t>
      </w:r>
      <w:r>
        <w:rPr>
          <w:rFonts w:ascii="Times New Roman" w:hAnsi="Times New Roman" w:cs="Times New Roman"/>
          <w:color w:val="000000"/>
          <w:sz w:val="28"/>
          <w:szCs w:val="24"/>
        </w:rPr>
        <w:t>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01B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96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вакантных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01B3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01B3F">
      <w:pPr>
        <w:widowControl w:val="0"/>
        <w:tabs>
          <w:tab w:val="left" w:pos="824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Андреев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701B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00  51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2" w:right="494" w:bottom="660" w:left="1440" w:header="0" w:footer="0" w:gutter="0"/>
          <w:cols w:space="720"/>
          <w:noEndnote/>
        </w:sectPr>
      </w:pPr>
    </w:p>
    <w:p w:rsidR="00000000" w:rsidRDefault="00701B3F">
      <w:pPr>
        <w:widowControl w:val="0"/>
        <w:autoSpaceDE w:val="0"/>
        <w:autoSpaceDN w:val="0"/>
        <w:adjustRightInd w:val="0"/>
        <w:spacing w:after="0" w:line="270" w:lineRule="exact"/>
        <w:ind w:left="5898" w:right="3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285" w:lineRule="exact"/>
        <w:ind w:left="58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 19 »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880 </w:t>
      </w:r>
    </w:p>
    <w:p w:rsidR="00000000" w:rsidRDefault="00701B3F">
      <w:pPr>
        <w:widowControl w:val="0"/>
        <w:autoSpaceDE w:val="0"/>
        <w:autoSpaceDN w:val="0"/>
        <w:adjustRightInd w:val="0"/>
        <w:spacing w:before="270" w:after="0" w:line="330" w:lineRule="exact"/>
        <w:ind w:left="410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01B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886" w:right="58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ВАКАНТНЫХ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01B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37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</w:p>
    <w:p w:rsidR="00000000" w:rsidRDefault="00701B3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401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ОРГАНАХ</w:t>
      </w:r>
    </w:p>
    <w:p w:rsidR="00000000" w:rsidRDefault="00701B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85" w:after="0" w:line="315" w:lineRule="exact"/>
        <w:ind w:left="383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вакантных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вакантных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вакантных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01B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01B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01B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01B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01B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подбору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1.3.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вакантных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вакантных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вакантных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вакантной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94" w:bottom="660" w:left="1440" w:header="0" w:footer="0" w:gutter="0"/>
          <w:cols w:space="720"/>
          <w:noEndnote/>
        </w:sectPr>
      </w:pPr>
    </w:p>
    <w:p w:rsidR="00000000" w:rsidRDefault="00701B3F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</w:t>
      </w:r>
      <w:r>
        <w:rPr>
          <w:rFonts w:ascii="Times New Roman" w:hAnsi="Times New Roman" w:cs="Times New Roman"/>
          <w:color w:val="000000"/>
          <w:sz w:val="28"/>
          <w:szCs w:val="24"/>
        </w:rPr>
        <w:t>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27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вакантной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правомочным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01B3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312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</w:t>
      </w:r>
      <w:r>
        <w:rPr>
          <w:rFonts w:ascii="Times New Roman" w:hAnsi="Times New Roman" w:cs="Times New Roman"/>
          <w:color w:val="000000"/>
          <w:sz w:val="28"/>
          <w:szCs w:val="24"/>
        </w:rPr>
        <w:t>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01B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вакантной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01B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01B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4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01B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01B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вр</w:t>
      </w:r>
      <w:r>
        <w:rPr>
          <w:rFonts w:ascii="Times New Roman" w:hAnsi="Times New Roman" w:cs="Times New Roman"/>
          <w:color w:val="000000"/>
          <w:sz w:val="28"/>
          <w:szCs w:val="24"/>
        </w:rPr>
        <w:t>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01B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01B3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</w:t>
      </w:r>
      <w:r>
        <w:rPr>
          <w:rFonts w:ascii="Times New Roman" w:hAnsi="Times New Roman" w:cs="Times New Roman"/>
          <w:color w:val="000000"/>
          <w:sz w:val="28"/>
          <w:szCs w:val="24"/>
        </w:rPr>
        <w:t>твенноручно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анкету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фотографии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прибытии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</w:t>
      </w:r>
      <w:r>
        <w:rPr>
          <w:rFonts w:ascii="Times New Roman" w:hAnsi="Times New Roman" w:cs="Times New Roman"/>
          <w:color w:val="000000"/>
          <w:sz w:val="28"/>
          <w:szCs w:val="24"/>
        </w:rPr>
        <w:t>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дипломы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сертификаты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</w:t>
      </w:r>
      <w:r>
        <w:rPr>
          <w:rFonts w:ascii="Times New Roman" w:hAnsi="Times New Roman" w:cs="Times New Roman"/>
          <w:color w:val="000000"/>
          <w:sz w:val="28"/>
          <w:szCs w:val="24"/>
        </w:rPr>
        <w:t>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701B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);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</w:t>
      </w:r>
      <w:r>
        <w:rPr>
          <w:rFonts w:ascii="Times New Roman" w:hAnsi="Times New Roman" w:cs="Times New Roman"/>
          <w:color w:val="000000"/>
          <w:sz w:val="28"/>
          <w:szCs w:val="24"/>
        </w:rPr>
        <w:t>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2.3. </w:t>
      </w:r>
      <w:r>
        <w:rPr>
          <w:rFonts w:ascii="Times New Roman" w:hAnsi="Times New Roman" w:cs="Times New Roman"/>
          <w:color w:val="000000"/>
          <w:sz w:val="28"/>
          <w:szCs w:val="24"/>
        </w:rPr>
        <w:t>Несвоевременное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вакантной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01B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368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</w:t>
      </w:r>
      <w:r>
        <w:rPr>
          <w:rFonts w:ascii="Times New Roman" w:hAnsi="Times New Roman" w:cs="Times New Roman"/>
          <w:color w:val="000000"/>
          <w:sz w:val="28"/>
          <w:szCs w:val="24"/>
        </w:rPr>
        <w:t>еседования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большинством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</w:t>
      </w:r>
      <w:r>
        <w:rPr>
          <w:rFonts w:ascii="Times New Roman" w:hAnsi="Times New Roman" w:cs="Times New Roman"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равенстве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3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присутствовавшими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вакантную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23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3.5.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вакантной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01B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324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3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701B3F">
      <w:pPr>
        <w:widowControl w:val="0"/>
        <w:autoSpaceDE w:val="0"/>
        <w:autoSpaceDN w:val="0"/>
        <w:adjustRightInd w:val="0"/>
        <w:spacing w:after="0" w:line="270" w:lineRule="exact"/>
        <w:ind w:left="5898" w:right="2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285" w:lineRule="exact"/>
        <w:ind w:left="58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 19 »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880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30" w:lineRule="exact"/>
        <w:ind w:left="448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20" w:lineRule="exact"/>
        <w:ind w:left="380" w:right="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вакантных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4"/>
        <w:gridCol w:w="52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Иванович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70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01B3F">
      <w:pPr>
        <w:widowControl w:val="0"/>
        <w:autoSpaceDE w:val="0"/>
        <w:autoSpaceDN w:val="0"/>
        <w:adjustRightInd w:val="0"/>
        <w:spacing w:after="0" w:line="320" w:lineRule="exact"/>
        <w:ind w:left="262" w:right="11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Ольга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Львовна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15" w:lineRule="exact"/>
        <w:ind w:left="39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4"/>
        <w:gridCol w:w="63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Рябова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делопроизводству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</w:p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70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Байрак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</w:p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делопроизводству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</w:p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70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Дроздов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Михаил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70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Дябин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Геннадий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Васильевич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70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Калмыков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70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Панфилов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Геннадий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70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701B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70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01B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40" w:lineRule="exact"/>
        <w:ind w:left="262" w:right="347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01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67" w:right="549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22"/>
    <w:multiLevelType w:val="hybridMultilevel"/>
    <w:tmpl w:val="0000B728"/>
    <w:lvl w:ilvl="0" w:tplc="00001B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CBB"/>
    <w:multiLevelType w:val="hybridMultilevel"/>
    <w:tmpl w:val="0000A848"/>
    <w:lvl w:ilvl="0" w:tplc="00000B8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4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9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8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1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0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4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E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C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2105"/>
    <w:multiLevelType w:val="hybridMultilevel"/>
    <w:tmpl w:val="00009420"/>
    <w:lvl w:ilvl="0" w:tplc="00000A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440E"/>
    <w:multiLevelType w:val="hybridMultilevel"/>
    <w:tmpl w:val="0000BD3D"/>
    <w:lvl w:ilvl="0" w:tplc="00001E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B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D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4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2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5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4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F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F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5A08"/>
    <w:multiLevelType w:val="hybridMultilevel"/>
    <w:tmpl w:val="0000F75A"/>
    <w:lvl w:ilvl="0" w:tplc="00001B61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4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2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1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C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5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C5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5C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F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619F"/>
    <w:multiLevelType w:val="hybridMultilevel"/>
    <w:tmpl w:val="000119B5"/>
    <w:lvl w:ilvl="0" w:tplc="000002F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8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8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4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7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F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A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F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9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65D3"/>
    <w:multiLevelType w:val="hybridMultilevel"/>
    <w:tmpl w:val="00008C47"/>
    <w:lvl w:ilvl="0" w:tplc="00001F8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8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A275"/>
    <w:multiLevelType w:val="hybridMultilevel"/>
    <w:tmpl w:val="000019AF"/>
    <w:lvl w:ilvl="0" w:tplc="000012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2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6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7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0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B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1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9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A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A833"/>
    <w:multiLevelType w:val="hybridMultilevel"/>
    <w:tmpl w:val="0000EB17"/>
    <w:lvl w:ilvl="0" w:tplc="00000A2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5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4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C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9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9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D8F0"/>
    <w:multiLevelType w:val="hybridMultilevel"/>
    <w:tmpl w:val="00014F65"/>
    <w:lvl w:ilvl="0" w:tplc="0000263D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B0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40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54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1E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86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DF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13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3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DCC3"/>
    <w:multiLevelType w:val="hybridMultilevel"/>
    <w:tmpl w:val="000015C7"/>
    <w:lvl w:ilvl="0" w:tplc="000015E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2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9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C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4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F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0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5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EB8D"/>
    <w:multiLevelType w:val="hybridMultilevel"/>
    <w:tmpl w:val="00001886"/>
    <w:lvl w:ilvl="0" w:tplc="000011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EFDF"/>
    <w:multiLevelType w:val="hybridMultilevel"/>
    <w:tmpl w:val="0000102E"/>
    <w:lvl w:ilvl="0" w:tplc="0000122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F415"/>
    <w:multiLevelType w:val="hybridMultilevel"/>
    <w:tmpl w:val="00009F26"/>
    <w:lvl w:ilvl="0" w:tplc="000023E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CD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0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8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44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B0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6F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4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1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0677"/>
    <w:multiLevelType w:val="hybridMultilevel"/>
    <w:tmpl w:val="0000B8C5"/>
    <w:lvl w:ilvl="0" w:tplc="000005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23FD"/>
    <w:multiLevelType w:val="hybridMultilevel"/>
    <w:tmpl w:val="0000469B"/>
    <w:lvl w:ilvl="0" w:tplc="000004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5E33"/>
    <w:multiLevelType w:val="hybridMultilevel"/>
    <w:tmpl w:val="00000F2F"/>
    <w:lvl w:ilvl="0" w:tplc="0000105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E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4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9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E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A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5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A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C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179"/>
    <w:multiLevelType w:val="hybridMultilevel"/>
    <w:tmpl w:val="00014C17"/>
    <w:lvl w:ilvl="0" w:tplc="000022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3"/>
  </w:num>
  <w:num w:numId="5">
    <w:abstractNumId w:val="1"/>
  </w:num>
  <w:num w:numId="6">
    <w:abstractNumId w:val="13"/>
  </w:num>
  <w:num w:numId="7">
    <w:abstractNumId w:val="16"/>
  </w:num>
  <w:num w:numId="8">
    <w:abstractNumId w:val="8"/>
  </w:num>
  <w:num w:numId="9">
    <w:abstractNumId w:val="0"/>
  </w:num>
  <w:num w:numId="10">
    <w:abstractNumId w:val="12"/>
  </w:num>
  <w:num w:numId="11">
    <w:abstractNumId w:val="7"/>
  </w:num>
  <w:num w:numId="12">
    <w:abstractNumId w:val="11"/>
  </w:num>
  <w:num w:numId="13">
    <w:abstractNumId w:val="5"/>
  </w:num>
  <w:num w:numId="14">
    <w:abstractNumId w:val="17"/>
  </w:num>
  <w:num w:numId="15">
    <w:abstractNumId w:val="14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01B3F"/>
    <w:rsid w:val="0070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1552</Words>
  <Characters>8848</Characters>
  <Application>Microsoft Office Word</Application>
  <DocSecurity>4</DocSecurity>
  <Lines>73</Lines>
  <Paragraphs>20</Paragraphs>
  <ScaleCrop>false</ScaleCrop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2016-03-28T12:05:00Z</dcterms:created>
  <dcterms:modified xsi:type="dcterms:W3CDTF">2016-03-28T12:05:00Z</dcterms:modified>
</cp:coreProperties>
</file>