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-728345</wp:posOffset>
            </wp:positionV>
            <wp:extent cx="542290" cy="71247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15" w:after="0" w:line="300" w:lineRule="exact"/>
        <w:ind w:left="1745" w:right="146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A7B3A">
      <w:pPr>
        <w:widowControl w:val="0"/>
        <w:tabs>
          <w:tab w:val="left" w:pos="7265"/>
        </w:tabs>
        <w:autoSpaceDE w:val="0"/>
        <w:autoSpaceDN w:val="0"/>
        <w:adjustRightInd w:val="0"/>
        <w:spacing w:before="295" w:after="0" w:line="335" w:lineRule="exact"/>
        <w:ind w:left="2936" w:right="-38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color w:val="000000"/>
          <w:sz w:val="24"/>
          <w:szCs w:val="24"/>
        </w:rPr>
        <w:tab/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5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24.02.2016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86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50" w:after="0" w:line="327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3163"/>
          <w:tab w:val="left" w:pos="353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09.12.2011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911),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A7B3A">
      <w:pPr>
        <w:widowControl w:val="0"/>
        <w:tabs>
          <w:tab w:val="left" w:pos="8473"/>
          <w:tab w:val="left" w:pos="8886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398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С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  <w:r>
        <w:rPr>
          <w:rFonts w:ascii="Times New Roman" w:hAnsi="Times New Roman" w:cs="Times New Roman"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25" w:lineRule="exact"/>
        <w:ind w:left="262" w:right="-22" w:firstLine="0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17 91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1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60" w:lineRule="exact"/>
        <w:ind w:left="7067" w:right="2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707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    »           2016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70" w:after="0" w:line="320" w:lineRule="exact"/>
        <w:ind w:left="339" w:right="4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497" w:right="20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разграни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A7B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70" w:after="0" w:line="330" w:lineRule="exact"/>
        <w:ind w:left="37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30" w:lineRule="exact"/>
        <w:ind w:left="147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межселенной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before="270" w:after="0" w:line="330" w:lineRule="exact"/>
        <w:ind w:left="404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2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91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1340" w:right="97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естонахождении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23. </w:t>
      </w:r>
    </w:p>
    <w:p w:rsidR="00000000" w:rsidRDefault="00FA7B3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before="165" w:after="0" w:line="320" w:lineRule="exact"/>
        <w:ind w:left="124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(84566) 5-00-49;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84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5-00-53 (84566) 5-05-53,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(84566) 5-05-53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5079" w:space="401"/>
            <w:col w:w="2550" w:space="0"/>
            <w:col w:w="-1"/>
          </w:cols>
          <w:noEndnote/>
        </w:sectPr>
      </w:pPr>
    </w:p>
    <w:p w:rsidR="00000000" w:rsidRDefault="00FA7B3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4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stepnoeadm.ru </w:t>
      </w:r>
    </w:p>
    <w:p w:rsidR="00000000" w:rsidRDefault="00FA7B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1114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16:00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перерыв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12:00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13:00,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stepnoeadm.ru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FA7B3A">
      <w:pPr>
        <w:widowControl w:val="0"/>
        <w:tabs>
          <w:tab w:val="left" w:pos="5458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http://www.mfc64.ru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«call-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(8452) 46-71-99. </w:t>
      </w:r>
    </w:p>
    <w:p w:rsidR="00000000" w:rsidRDefault="00FA7B3A">
      <w:pPr>
        <w:widowControl w:val="0"/>
        <w:autoSpaceDE w:val="0"/>
        <w:autoSpaceDN w:val="0"/>
        <w:adjustRightInd w:val="0"/>
        <w:spacing w:before="270" w:after="0" w:line="320" w:lineRule="exact"/>
        <w:ind w:left="1714" w:right="56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3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3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</w:t>
      </w:r>
      <w:r>
        <w:rPr>
          <w:rFonts w:ascii="Times New Roman" w:hAnsi="Times New Roman" w:cs="Times New Roman"/>
          <w:color w:val="000000"/>
          <w:sz w:val="28"/>
          <w:szCs w:val="24"/>
        </w:rPr>
        <w:t>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1.8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1.12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1114" w:right="20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здан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располагается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1.9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азъяснение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4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48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</w:t>
      </w:r>
      <w:r>
        <w:rPr>
          <w:rFonts w:ascii="Times New Roman" w:hAnsi="Times New Roman" w:cs="Times New Roman"/>
          <w:color w:val="000000"/>
          <w:sz w:val="28"/>
          <w:szCs w:val="24"/>
        </w:rPr>
        <w:t>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262" w:right="-31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</w:t>
      </w:r>
      <w:r>
        <w:rPr>
          <w:rFonts w:ascii="Times New Roman" w:hAnsi="Times New Roman" w:cs="Times New Roman"/>
          <w:color w:val="000000"/>
          <w:sz w:val="28"/>
          <w:szCs w:val="24"/>
        </w:rPr>
        <w:t>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5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1114" w:right="14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</w:t>
      </w:r>
      <w:r>
        <w:rPr>
          <w:rFonts w:ascii="Times New Roman" w:hAnsi="Times New Roman" w:cs="Times New Roman"/>
          <w:color w:val="000000"/>
          <w:sz w:val="28"/>
          <w:szCs w:val="24"/>
        </w:rPr>
        <w:t>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2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</w:t>
      </w:r>
      <w:r>
        <w:rPr>
          <w:rFonts w:ascii="Times New Roman" w:hAnsi="Times New Roman" w:cs="Times New Roman"/>
          <w:color w:val="000000"/>
          <w:sz w:val="28"/>
          <w:szCs w:val="24"/>
        </w:rPr>
        <w:t>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6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45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</w:t>
      </w:r>
      <w:r>
        <w:rPr>
          <w:rFonts w:ascii="Times New Roman" w:hAnsi="Times New Roman" w:cs="Times New Roman"/>
          <w:color w:val="000000"/>
          <w:sz w:val="28"/>
          <w:szCs w:val="24"/>
        </w:rPr>
        <w:t>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45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4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45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40" w:lineRule="exact"/>
        <w:ind w:left="262" w:right="45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1114" w:right="204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45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45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другая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87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</w:t>
      </w:r>
      <w:r>
        <w:rPr>
          <w:rFonts w:ascii="Times New Roman" w:hAnsi="Times New Roman" w:cs="Times New Roman"/>
          <w:color w:val="000000"/>
          <w:sz w:val="28"/>
          <w:szCs w:val="24"/>
        </w:rPr>
        <w:t>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129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23;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7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7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FA7B3A">
      <w:pPr>
        <w:widowControl w:val="0"/>
        <w:tabs>
          <w:tab w:val="left" w:pos="310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http://www.gosuslugi.ru/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260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http://64.gosuslugi.ru/pgu/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Публичное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параллельных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</w:t>
      </w:r>
      <w:r>
        <w:rPr>
          <w:rFonts w:ascii="Times New Roman" w:hAnsi="Times New Roman" w:cs="Times New Roman"/>
          <w:color w:val="000000"/>
          <w:sz w:val="28"/>
          <w:szCs w:val="24"/>
        </w:rPr>
        <w:t>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перечислить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сотрудник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</w:t>
      </w:r>
      <w:r>
        <w:rPr>
          <w:rFonts w:ascii="Times New Roman" w:hAnsi="Times New Roman" w:cs="Times New Roman"/>
          <w:color w:val="000000"/>
          <w:sz w:val="28"/>
          <w:szCs w:val="24"/>
        </w:rPr>
        <w:t>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косвенно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1.12.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сающимися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8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1.13.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>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наглядно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алгоритм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</w:t>
      </w:r>
      <w:r>
        <w:rPr>
          <w:rFonts w:ascii="Times New Roman" w:hAnsi="Times New Roman" w:cs="Times New Roman"/>
          <w:color w:val="000000"/>
          <w:sz w:val="28"/>
          <w:szCs w:val="24"/>
        </w:rPr>
        <w:t>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14),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полужирным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1.14.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792"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 xml:space="preserve">9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ссылками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алгоритм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5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</w:t>
      </w:r>
      <w:r>
        <w:rPr>
          <w:rFonts w:ascii="Times New Roman" w:hAnsi="Times New Roman" w:cs="Times New Roman"/>
          <w:color w:val="000000"/>
          <w:sz w:val="28"/>
          <w:szCs w:val="24"/>
        </w:rPr>
        <w:t>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1726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300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разграничена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1052" w:right="29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65" w:after="0" w:line="327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17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65"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70" w:after="0" w:line="330" w:lineRule="exact"/>
        <w:ind w:left="2562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15" w:lineRule="exact"/>
        <w:ind w:left="80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3955"/>
          <w:tab w:val="left" w:pos="718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FF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39.25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3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10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2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2.5.2.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6965"/>
          <w:tab w:val="left" w:pos="99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FF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39.25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FA7B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4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785" w:right="49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3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202, 8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</w:t>
      </w:r>
      <w:r>
        <w:rPr>
          <w:rFonts w:ascii="Times New Roman" w:hAnsi="Times New Roman" w:cs="Times New Roman"/>
          <w:color w:val="000000"/>
          <w:sz w:val="28"/>
          <w:szCs w:val="24"/>
        </w:rPr>
        <w:t>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168);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95, 5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2001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211-212, 30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211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-212, 30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165, 29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75,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 </w:t>
      </w:r>
      <w:r>
        <w:rPr>
          <w:rFonts w:ascii="Times New Roman" w:hAnsi="Times New Roman" w:cs="Times New Roman"/>
          <w:color w:val="000000"/>
          <w:sz w:val="28"/>
          <w:szCs w:val="24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11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>» 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145, 30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1997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)»; </w:t>
      </w:r>
    </w:p>
    <w:p w:rsidR="00000000" w:rsidRDefault="00FA7B3A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315" w:lineRule="exact"/>
        <w:ind w:left="941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 N 51-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32,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3301); </w:t>
      </w:r>
    </w:p>
    <w:p w:rsidR="00000000" w:rsidRDefault="00FA7B3A">
      <w:pPr>
        <w:widowControl w:val="0"/>
        <w:tabs>
          <w:tab w:val="left" w:pos="3492"/>
        </w:tabs>
        <w:autoSpaceDE w:val="0"/>
        <w:autoSpaceDN w:val="0"/>
        <w:adjustRightInd w:val="0"/>
        <w:spacing w:after="0" w:line="315" w:lineRule="exact"/>
        <w:ind w:left="941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2004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290);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634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»(«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148, 02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06.04.2010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>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1774" w:right="937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предприниматель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ЕГРП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12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3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A7B3A">
      <w:pPr>
        <w:widowControl w:val="0"/>
        <w:tabs>
          <w:tab w:val="left" w:pos="6245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4"/>
        </w:rPr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6 </w:t>
      </w:r>
      <w:r>
        <w:rPr>
          <w:rFonts w:ascii="Times New Roman" w:hAnsi="Times New Roman" w:cs="Times New Roman"/>
          <w:color w:val="0000FF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2.6.</w:t>
      </w:r>
      <w:r>
        <w:rPr>
          <w:rFonts w:ascii="Times New Roman" w:hAnsi="Times New Roman" w:cs="Times New Roman"/>
          <w:color w:val="0070C0"/>
          <w:sz w:val="28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2.6.3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нотариусом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3.3.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A7B3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2,5,6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1265" w:right="49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ействия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13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48" w:right="432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 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629" w:right="33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1145" w:right="309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65" w:after="0" w:line="34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22"/>
        </w:numPr>
        <w:tabs>
          <w:tab w:val="left" w:pos="6651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FF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39.26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7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подчистки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зачеркнутые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>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написаны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неразборчиво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</w:t>
      </w:r>
      <w:r>
        <w:rPr>
          <w:rFonts w:ascii="Times New Roman" w:hAnsi="Times New Roman" w:cs="Times New Roman"/>
          <w:color w:val="000000"/>
          <w:sz w:val="28"/>
          <w:szCs w:val="24"/>
        </w:rPr>
        <w:t>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790" w:right="20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ументе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14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936" w:right="105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627" w:right="33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70" w:after="0" w:line="320" w:lineRule="exact"/>
        <w:ind w:left="1198" w:right="36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Прошедшее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1037" w:right="74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предоставляемые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</w:t>
      </w:r>
      <w:r>
        <w:rPr>
          <w:rFonts w:ascii="Times New Roman" w:hAnsi="Times New Roman" w:cs="Times New Roman"/>
          <w:color w:val="000000"/>
          <w:sz w:val="28"/>
          <w:szCs w:val="24"/>
        </w:rPr>
        <w:t>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пандусами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расширенными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кресла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коляски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15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48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стойками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Каждое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МФЦ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153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»),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сурдопереводчика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тифлосурдопереводчика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владеющего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собаки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16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некорректное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невнимательное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70" w:after="0" w:line="320" w:lineRule="exact"/>
        <w:ind w:left="720" w:right="42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III.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A7B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17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присваивает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</w:t>
      </w:r>
      <w:r>
        <w:rPr>
          <w:rFonts w:ascii="Times New Roman" w:hAnsi="Times New Roman" w:cs="Times New Roman"/>
          <w:color w:val="000000"/>
          <w:sz w:val="28"/>
          <w:szCs w:val="24"/>
        </w:rPr>
        <w:t>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3.3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2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7.2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4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</w:t>
      </w:r>
      <w:r>
        <w:rPr>
          <w:rFonts w:ascii="Times New Roman" w:hAnsi="Times New Roman" w:cs="Times New Roman"/>
          <w:color w:val="000000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tabs>
          <w:tab w:val="left" w:pos="8598"/>
          <w:tab w:val="left" w:pos="8687"/>
        </w:tabs>
        <w:autoSpaceDE w:val="0"/>
        <w:autoSpaceDN w:val="0"/>
        <w:adjustRightInd w:val="0"/>
        <w:spacing w:after="0" w:line="315" w:lineRule="exact"/>
        <w:ind w:left="8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</w:t>
      </w:r>
      <w:r>
        <w:rPr>
          <w:rFonts w:ascii="Times New Roman" w:hAnsi="Times New Roman" w:cs="Times New Roman"/>
          <w:color w:val="000000"/>
          <w:sz w:val="28"/>
          <w:szCs w:val="24"/>
        </w:rPr>
        <w:t>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8447"/>
          <w:tab w:val="left" w:pos="980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2.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9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экземплярах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FA7B3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18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315" w:lineRule="exact"/>
        <w:ind w:left="8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515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4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</w:t>
      </w:r>
      <w:r>
        <w:rPr>
          <w:rFonts w:ascii="Times New Roman" w:hAnsi="Times New Roman" w:cs="Times New Roman"/>
          <w:color w:val="000000"/>
          <w:sz w:val="28"/>
          <w:szCs w:val="24"/>
        </w:rPr>
        <w:t>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5360"/>
          <w:tab w:val="left" w:pos="840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FF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39.25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19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-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</w:t>
      </w:r>
      <w:r>
        <w:rPr>
          <w:rFonts w:ascii="Times New Roman" w:hAnsi="Times New Roman" w:cs="Times New Roman"/>
          <w:color w:val="000000"/>
          <w:sz w:val="28"/>
          <w:szCs w:val="24"/>
        </w:rPr>
        <w:t>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</w:t>
      </w:r>
      <w:r>
        <w:rPr>
          <w:rFonts w:ascii="Times New Roman" w:hAnsi="Times New Roman" w:cs="Times New Roman"/>
          <w:color w:val="000000"/>
          <w:sz w:val="28"/>
          <w:szCs w:val="24"/>
        </w:rPr>
        <w:t>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3934"/>
          <w:tab w:val="left" w:pos="557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3.1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A7B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4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</w:t>
      </w:r>
      <w:r>
        <w:rPr>
          <w:rFonts w:ascii="Times New Roman" w:hAnsi="Times New Roman" w:cs="Times New Roman"/>
          <w:color w:val="000000"/>
          <w:sz w:val="28"/>
          <w:szCs w:val="24"/>
        </w:rPr>
        <w:t>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802" w:right="100" w:firstLine="0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3.7.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FA7B3A">
      <w:pPr>
        <w:widowControl w:val="0"/>
        <w:tabs>
          <w:tab w:val="left" w:pos="8929"/>
        </w:tabs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FF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3.2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20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tabs>
          <w:tab w:val="left" w:pos="7246"/>
          <w:tab w:val="left" w:pos="9155"/>
          <w:tab w:val="left" w:pos="9409"/>
          <w:tab w:val="left" w:pos="9551"/>
          <w:tab w:val="left" w:pos="9803"/>
        </w:tabs>
        <w:autoSpaceDE w:val="0"/>
        <w:autoSpaceDN w:val="0"/>
        <w:adjustRightInd w:val="0"/>
        <w:spacing w:after="0" w:line="315" w:lineRule="exact"/>
        <w:ind w:left="1011" w:right="-38"/>
        <w:rPr>
          <w:rFonts w:ascii="Times New Roman" w:hAnsi="Times New Roman" w:cs="Times New Roman"/>
          <w:color w:val="0000FF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подпунктами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2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  <w:t>5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FF"/>
          <w:spacing w:val="-1"/>
          <w:sz w:val="28"/>
          <w:szCs w:val="24"/>
        </w:rPr>
        <w:tab/>
        <w:t xml:space="preserve">6 </w:t>
      </w:r>
    </w:p>
    <w:p w:rsidR="00000000" w:rsidRDefault="00FA7B3A">
      <w:pPr>
        <w:widowControl w:val="0"/>
        <w:tabs>
          <w:tab w:val="left" w:pos="1651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2.6.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4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2.9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262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8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7624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3.9.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7" w:lineRule="exact"/>
        <w:ind w:left="262" w:right="-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21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tabs>
          <w:tab w:val="left" w:pos="7448"/>
          <w:tab w:val="left" w:pos="7592"/>
        </w:tabs>
        <w:autoSpaceDE w:val="0"/>
        <w:autoSpaceDN w:val="0"/>
        <w:adjustRightInd w:val="0"/>
        <w:spacing w:after="0" w:line="315" w:lineRule="exact"/>
        <w:ind w:left="8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Calibri" w:hAnsi="Calibri" w:cs="Times New Roman"/>
          <w:color w:val="000000"/>
          <w:szCs w:val="24"/>
        </w:rPr>
        <w:tab/>
      </w:r>
      <w:r>
        <w:rPr>
          <w:rFonts w:ascii="Calibri" w:hAnsi="Calibri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</w:t>
      </w:r>
      <w:r>
        <w:rPr>
          <w:rFonts w:ascii="Times New Roman" w:hAnsi="Times New Roman" w:cs="Times New Roman"/>
          <w:color w:val="000000"/>
          <w:sz w:val="28"/>
          <w:szCs w:val="24"/>
        </w:rPr>
        <w:t>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8332"/>
          <w:tab w:val="left" w:pos="99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3.5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22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>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3.13.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Согласование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527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3.14.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tabs>
          <w:tab w:val="left" w:pos="8142"/>
          <w:tab w:val="left" w:pos="8540"/>
        </w:tabs>
        <w:autoSpaceDE w:val="0"/>
        <w:autoSpaceDN w:val="0"/>
        <w:adjustRightInd w:val="0"/>
        <w:spacing w:after="0" w:line="315" w:lineRule="exact"/>
        <w:ind w:left="8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3.15.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tabs>
          <w:tab w:val="left" w:pos="8262"/>
          <w:tab w:val="left" w:pos="994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ab/>
      </w:r>
      <w:r>
        <w:rPr>
          <w:rFonts w:ascii="Times New Roman" w:hAnsi="Times New Roman" w:cs="Times New Roman"/>
          <w:color w:val="0000FF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FF"/>
          <w:sz w:val="28"/>
          <w:szCs w:val="24"/>
        </w:rPr>
        <w:t xml:space="preserve">  3.5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90" w:after="0" w:line="320" w:lineRule="exact"/>
        <w:ind w:left="732" w:right="44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23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84" w:right="-13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ответственными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принятию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tabs>
          <w:tab w:val="left" w:pos="5986"/>
          <w:tab w:val="left" w:pos="6080"/>
        </w:tabs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антимонопольной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палатой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5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отслеживания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Персональная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ненадлежащим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24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87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136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339" w:right="4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</w:t>
      </w:r>
      <w:r>
        <w:rPr>
          <w:rFonts w:ascii="Times New Roman" w:hAnsi="Times New Roman" w:cs="Times New Roman"/>
          <w:color w:val="000000"/>
          <w:sz w:val="28"/>
          <w:szCs w:val="24"/>
        </w:rPr>
        <w:t>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претензию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3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совершившем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25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4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нецензурные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оскорбительные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прочтению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неоднократно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давались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обстоятельства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безосновательности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направляли</w:t>
      </w:r>
      <w:r>
        <w:rPr>
          <w:rFonts w:ascii="Times New Roman" w:hAnsi="Times New Roman" w:cs="Times New Roman"/>
          <w:color w:val="000000"/>
          <w:sz w:val="28"/>
          <w:szCs w:val="24"/>
        </w:rPr>
        <w:t>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7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вновь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before="270" w:after="0" w:line="320" w:lineRule="exact"/>
        <w:ind w:left="1136" w:right="84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</w:t>
      </w:r>
      <w:r>
        <w:rPr>
          <w:rFonts w:ascii="Times New Roman" w:hAnsi="Times New Roman" w:cs="Times New Roman"/>
          <w:color w:val="000000"/>
          <w:sz w:val="28"/>
          <w:szCs w:val="24"/>
        </w:rPr>
        <w:t>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26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5.14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5.7.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</w:t>
      </w:r>
      <w:r>
        <w:rPr>
          <w:rFonts w:ascii="Times New Roman" w:hAnsi="Times New Roman" w:cs="Times New Roman"/>
          <w:color w:val="000000"/>
          <w:sz w:val="28"/>
          <w:szCs w:val="24"/>
        </w:rPr>
        <w:t>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</w:p>
    <w:p w:rsidR="00000000" w:rsidRDefault="00FA7B3A">
      <w:pPr>
        <w:widowControl w:val="0"/>
        <w:tabs>
          <w:tab w:val="left" w:pos="3103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http://www.gosuslugi.ru/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  <w:t xml:space="preserve">;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6234" w:space="794"/>
            <w:col w:w="2942" w:space="0"/>
            <w:col w:w="-1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</w:t>
      </w:r>
      <w:r>
        <w:rPr>
          <w:rFonts w:ascii="Times New Roman" w:hAnsi="Times New Roman" w:cs="Times New Roman"/>
          <w:color w:val="000000"/>
          <w:sz w:val="28"/>
          <w:szCs w:val="24"/>
        </w:rPr>
        <w:t>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  <w:r>
        <w:rPr>
          <w:rFonts w:ascii="Times New Roman" w:hAnsi="Times New Roman" w:cs="Times New Roman"/>
          <w:color w:val="0000FF"/>
          <w:sz w:val="28"/>
          <w:szCs w:val="24"/>
        </w:rPr>
        <w:t>http://64.gosuslugi.ru/pgu/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27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3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>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7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збрании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262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5.8.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5.9.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4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5.10.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1114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5.11.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-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5.12.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28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5.15.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11.2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</w:t>
      </w:r>
      <w:r>
        <w:rPr>
          <w:rFonts w:ascii="Times New Roman" w:hAnsi="Times New Roman" w:cs="Times New Roman"/>
          <w:color w:val="000000"/>
          <w:sz w:val="28"/>
          <w:szCs w:val="24"/>
        </w:rPr>
        <w:t>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5.16.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4"/>
        </w:rPr>
        <w:t>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5.17.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5.18.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15" w:lineRule="exact"/>
        <w:ind w:left="111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принятое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3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5.19.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5.63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A7B3A">
      <w:pPr>
        <w:widowControl w:val="0"/>
        <w:tabs>
          <w:tab w:val="left" w:pos="9875"/>
        </w:tabs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70"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29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73" w:right="49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55" w:lineRule="exact"/>
        <w:ind w:left="47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1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4548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лаве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83" w:right="509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tabs>
          <w:tab w:val="left" w:pos="2434"/>
        </w:tabs>
        <w:autoSpaceDE w:val="0"/>
        <w:autoSpaceDN w:val="0"/>
        <w:adjustRightInd w:val="0"/>
        <w:spacing w:after="0" w:line="225" w:lineRule="exact"/>
        <w:ind w:left="31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Исходящий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0" w:lineRule="exact"/>
        <w:ind w:left="237" w:right="3419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аратовской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Пименову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19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52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наименов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ание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организационно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-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401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правовая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форма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нахождения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сведения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государственной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732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регистрации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ИНН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18"/>
          <w:szCs w:val="24"/>
        </w:rPr>
        <w:t>для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лиц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24"/>
        </w:rPr>
        <w:t>–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504" w:right="-22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удостоверяющего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личность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,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2144" w:right="-22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место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)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очтовый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tabs>
          <w:tab w:val="left" w:pos="2656"/>
        </w:tabs>
        <w:autoSpaceDE w:val="0"/>
        <w:autoSpaceDN w:val="0"/>
        <w:adjustRightInd w:val="0"/>
        <w:spacing w:after="0" w:line="225" w:lineRule="exact"/>
        <w:ind w:left="23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дрес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ab/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115" w:after="0" w:line="225" w:lineRule="exact"/>
        <w:ind w:left="2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онтактный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num="3" w:space="720" w:equalWidth="0">
            <w:col w:w="2444" w:space="1885"/>
            <w:col w:w="5532" w:space="0"/>
            <w:col w:w="-1"/>
          </w:cols>
          <w:noEndnote/>
        </w:sectPr>
      </w:pPr>
    </w:p>
    <w:p w:rsidR="00000000" w:rsidRDefault="00FA7B3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5" w:lineRule="exact"/>
        <w:ind w:left="2134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заключении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установлении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сервитута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37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39.26 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35"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55" w:after="0" w:line="285" w:lineRule="exact"/>
        <w:ind w:left="32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31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before="55" w:after="0" w:line="285" w:lineRule="exact"/>
        <w:ind w:left="37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308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175" w:after="0" w:line="285" w:lineRule="exact"/>
        <w:ind w:left="25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space="720" w:equalWidth="0">
            <w:col w:w="9958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32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num="3" w:space="720" w:equalWidth="0">
            <w:col w:w="1882" w:space="4964"/>
            <w:col w:w="2014" w:space="0"/>
            <w:col w:w="-1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30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9" w:bottom="720" w:left="1440" w:header="720" w:footer="720" w:gutter="0"/>
          <w:cols w:space="720" w:equalWidth="0">
            <w:col w:w="9958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20" w:lineRule="exact"/>
        <w:ind w:left="262" w:right="1195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___________________________ </w:t>
      </w:r>
      <w:r>
        <w:rPr>
          <w:rFonts w:ascii="Times New Roman" w:hAnsi="Times New Roman" w:cs="Times New Roman"/>
          <w:color w:val="000000"/>
          <w:sz w:val="20"/>
          <w:szCs w:val="24"/>
        </w:rPr>
        <w:t>МП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               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                 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FA7B3A">
      <w:pPr>
        <w:widowControl w:val="0"/>
        <w:autoSpaceDE w:val="0"/>
        <w:autoSpaceDN w:val="0"/>
        <w:adjustRightInd w:val="0"/>
        <w:spacing w:before="195" w:after="0" w:line="240" w:lineRule="exact"/>
        <w:ind w:left="262" w:right="231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Действующий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довереннос</w:t>
      </w:r>
      <w:r>
        <w:rPr>
          <w:rFonts w:ascii="Times New Roman" w:hAnsi="Times New Roman" w:cs="Times New Roman"/>
          <w:color w:val="000000"/>
          <w:sz w:val="20"/>
          <w:szCs w:val="24"/>
        </w:rPr>
        <w:t>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_________________________________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A7B3A">
      <w:pPr>
        <w:widowControl w:val="0"/>
        <w:autoSpaceDE w:val="0"/>
        <w:autoSpaceDN w:val="0"/>
        <w:adjustRightInd w:val="0"/>
        <w:spacing w:before="195" w:after="0" w:line="220" w:lineRule="exact"/>
        <w:ind w:left="262" w:right="103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"____"____________ 20__ </w:t>
      </w:r>
      <w:r>
        <w:rPr>
          <w:rFonts w:ascii="Times New Roman" w:hAnsi="Times New Roman" w:cs="Times New Roman"/>
          <w:color w:val="000000"/>
          <w:sz w:val="20"/>
          <w:szCs w:val="24"/>
        </w:rPr>
        <w:t>г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___ </w:t>
      </w:r>
      <w:r>
        <w:rPr>
          <w:rFonts w:ascii="Times New Roman" w:hAnsi="Times New Roman" w:cs="Times New Roman"/>
          <w:color w:val="000000"/>
          <w:sz w:val="20"/>
          <w:szCs w:val="24"/>
        </w:rPr>
        <w:t>час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___ </w:t>
      </w:r>
      <w:r>
        <w:rPr>
          <w:rFonts w:ascii="Times New Roman" w:hAnsi="Times New Roman" w:cs="Times New Roman"/>
          <w:color w:val="000000"/>
          <w:sz w:val="20"/>
          <w:szCs w:val="24"/>
        </w:rPr>
        <w:t>мин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принял</w:t>
      </w:r>
      <w:r>
        <w:rPr>
          <w:rFonts w:ascii="Times New Roman" w:hAnsi="Times New Roman" w:cs="Times New Roman"/>
          <w:color w:val="000000"/>
          <w:sz w:val="20"/>
          <w:szCs w:val="24"/>
        </w:rPr>
        <w:t>: ______________            __________________ (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>)                   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.)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31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514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55" w:lineRule="exact"/>
        <w:ind w:left="472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2 </w:t>
      </w:r>
      <w:r>
        <w:rPr>
          <w:rFonts w:ascii="Times New Roman" w:hAnsi="Times New Roman" w:cs="Times New Roman"/>
          <w:b/>
          <w:color w:val="000000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регламенту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30" w:lineRule="exact"/>
        <w:ind w:left="173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before="285" w:after="0" w:line="315" w:lineRule="exact"/>
        <w:ind w:left="81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</w:t>
      </w:r>
    </w:p>
    <w:p w:rsidR="00000000" w:rsidRDefault="00FA7B3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1169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сервитута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04" w:right="43" w:bottom="660" w:left="1440" w:header="0" w:footer="0" w:gutter="0"/>
          <w:cols w:space="720"/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9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0" w:lineRule="exact"/>
        <w:ind w:left="-250" w:right="-2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Экспертиза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num="4" w:space="720" w:equalWidth="0">
            <w:col w:w="3196" w:space="1574"/>
            <w:col w:w="1292" w:space="1916"/>
            <w:col w:w="1396" w:space="0"/>
            <w:col w:w="-1"/>
          </w:cols>
          <w:noEndnote/>
        </w:sect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3"/>
        <w:gridCol w:w="21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A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A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space="720" w:equalWidth="0">
            <w:col w:w="10424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22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num="4" w:space="720" w:equalWidth="0">
            <w:col w:w="2516" w:space="1625"/>
            <w:col w:w="2468" w:space="1841"/>
            <w:col w:w="401" w:space="0"/>
            <w:col w:w="-1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109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num="3" w:space="720" w:equalWidth="0">
            <w:col w:w="2586" w:space="1570"/>
            <w:col w:w="2441" w:space="0"/>
            <w:col w:w="-1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4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1275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сервитута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5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"/>
        <w:gridCol w:w="3697"/>
        <w:gridCol w:w="384"/>
        <w:gridCol w:w="2689"/>
        <w:gridCol w:w="252"/>
        <w:gridCol w:w="2652"/>
        <w:gridCol w:w="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3" w:type="dxa"/>
          <w:wAfter w:w="61" w:type="dxa"/>
          <w:trHeight w:hRule="exact" w:val="945"/>
        </w:trPr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сервитута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сервитута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A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сервитут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сервитута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A7B3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сервитута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A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space="720" w:equalWidth="0">
            <w:col w:w="10424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80" w:lineRule="exact"/>
        <w:ind w:left="50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377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3" w:bottom="720" w:left="1440" w:header="720" w:footer="720" w:gutter="0"/>
          <w:cols w:num="4" w:space="720" w:equalWidth="0">
            <w:col w:w="3838" w:space="778"/>
            <w:col w:w="2191" w:space="1134"/>
            <w:col w:w="1996" w:space="0"/>
            <w:col w:w="-1"/>
          </w:cols>
          <w:noEndnote/>
        </w:sectPr>
      </w:pP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0" w:lineRule="exact"/>
        <w:ind w:left="4729" w:right="3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кадастровый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85" w:lineRule="exact"/>
        <w:ind w:left="6856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Calibri" w:hAnsi="Calibri" w:cs="Times New Roman"/>
          <w:color w:val="00000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320" w:lineRule="exact"/>
        <w:ind w:left="6201" w:right="159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сервитута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70" w:lineRule="exact"/>
        <w:ind w:left="9679" w:right="-22"/>
        <w:rPr>
          <w:rFonts w:ascii="Calibri" w:hAnsi="Calibri" w:cs="Times New Roman"/>
          <w:color w:val="000000"/>
          <w:spacing w:val="1"/>
          <w:szCs w:val="24"/>
        </w:rPr>
      </w:pPr>
      <w:r>
        <w:rPr>
          <w:rFonts w:ascii="Calibri" w:hAnsi="Calibri" w:cs="Times New Roman"/>
          <w:color w:val="000000"/>
          <w:spacing w:val="1"/>
          <w:szCs w:val="24"/>
        </w:rPr>
        <w:t xml:space="preserve">32 </w:t>
      </w:r>
    </w:p>
    <w:p w:rsidR="00000000" w:rsidRDefault="00FA7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3" w:bottom="720" w:left="1440" w:header="720" w:footer="720" w:gutter="0"/>
      <w:cols w:space="720" w:equalWidth="0">
        <w:col w:w="1042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9A"/>
    <w:multiLevelType w:val="hybridMultilevel"/>
    <w:tmpl w:val="00002BB4"/>
    <w:lvl w:ilvl="0" w:tplc="00000D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A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103"/>
    <w:multiLevelType w:val="hybridMultilevel"/>
    <w:tmpl w:val="00003E2F"/>
    <w:lvl w:ilvl="0" w:tplc="00001C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E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F1D"/>
    <w:multiLevelType w:val="hybridMultilevel"/>
    <w:tmpl w:val="00001C01"/>
    <w:lvl w:ilvl="0" w:tplc="000022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FCF"/>
    <w:multiLevelType w:val="hybridMultilevel"/>
    <w:tmpl w:val="00015D54"/>
    <w:lvl w:ilvl="0" w:tplc="00000C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8BA"/>
    <w:multiLevelType w:val="hybridMultilevel"/>
    <w:tmpl w:val="0000D468"/>
    <w:lvl w:ilvl="0" w:tplc="00000C7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E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1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C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A9A"/>
    <w:multiLevelType w:val="hybridMultilevel"/>
    <w:tmpl w:val="00015497"/>
    <w:lvl w:ilvl="0" w:tplc="000006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3C6B"/>
    <w:multiLevelType w:val="hybridMultilevel"/>
    <w:tmpl w:val="0000F34E"/>
    <w:lvl w:ilvl="0" w:tplc="000006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78C"/>
    <w:multiLevelType w:val="hybridMultilevel"/>
    <w:tmpl w:val="00007FC4"/>
    <w:lvl w:ilvl="0" w:tplc="000011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91C"/>
    <w:multiLevelType w:val="hybridMultilevel"/>
    <w:tmpl w:val="00012705"/>
    <w:lvl w:ilvl="0" w:tplc="0000010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9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20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3A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21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7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5834"/>
    <w:multiLevelType w:val="hybridMultilevel"/>
    <w:tmpl w:val="00001B68"/>
    <w:lvl w:ilvl="0" w:tplc="000003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C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65DF"/>
    <w:multiLevelType w:val="hybridMultilevel"/>
    <w:tmpl w:val="0000E31A"/>
    <w:lvl w:ilvl="0" w:tplc="00001B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5D3"/>
    <w:multiLevelType w:val="hybridMultilevel"/>
    <w:tmpl w:val="00012E45"/>
    <w:lvl w:ilvl="0" w:tplc="00000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E48"/>
    <w:multiLevelType w:val="hybridMultilevel"/>
    <w:tmpl w:val="0000B68E"/>
    <w:lvl w:ilvl="0" w:tplc="00001B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9E2C"/>
    <w:multiLevelType w:val="hybridMultilevel"/>
    <w:tmpl w:val="0000CFD4"/>
    <w:lvl w:ilvl="0" w:tplc="000022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A2AC"/>
    <w:multiLevelType w:val="hybridMultilevel"/>
    <w:tmpl w:val="00008F96"/>
    <w:lvl w:ilvl="0" w:tplc="00001C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2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A318"/>
    <w:multiLevelType w:val="hybridMultilevel"/>
    <w:tmpl w:val="0000C286"/>
    <w:lvl w:ilvl="0" w:tplc="000008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AD5C"/>
    <w:multiLevelType w:val="hybridMultilevel"/>
    <w:tmpl w:val="000127CA"/>
    <w:lvl w:ilvl="0" w:tplc="00000E4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A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F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E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5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CB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1E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7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D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B7B3"/>
    <w:multiLevelType w:val="hybridMultilevel"/>
    <w:tmpl w:val="0000CFA8"/>
    <w:lvl w:ilvl="0" w:tplc="00002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6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C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F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0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5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3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4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C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B84A"/>
    <w:multiLevelType w:val="hybridMultilevel"/>
    <w:tmpl w:val="000121AB"/>
    <w:lvl w:ilvl="0" w:tplc="00001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35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A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C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1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3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3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B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2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C974"/>
    <w:multiLevelType w:val="hybridMultilevel"/>
    <w:tmpl w:val="00011084"/>
    <w:lvl w:ilvl="0" w:tplc="000021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CACF"/>
    <w:multiLevelType w:val="hybridMultilevel"/>
    <w:tmpl w:val="00004C96"/>
    <w:lvl w:ilvl="0" w:tplc="00001C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CD73"/>
    <w:multiLevelType w:val="hybridMultilevel"/>
    <w:tmpl w:val="0001511C"/>
    <w:lvl w:ilvl="0" w:tplc="000014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DA6D"/>
    <w:multiLevelType w:val="hybridMultilevel"/>
    <w:tmpl w:val="00006D41"/>
    <w:lvl w:ilvl="0" w:tplc="000010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F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DB6E"/>
    <w:multiLevelType w:val="hybridMultilevel"/>
    <w:tmpl w:val="00006B1B"/>
    <w:lvl w:ilvl="0" w:tplc="00000F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3AE"/>
    <w:multiLevelType w:val="hybridMultilevel"/>
    <w:tmpl w:val="00004D92"/>
    <w:lvl w:ilvl="0" w:tplc="000008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8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6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E72C"/>
    <w:multiLevelType w:val="hybridMultilevel"/>
    <w:tmpl w:val="00009B27"/>
    <w:lvl w:ilvl="0" w:tplc="000003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FDF7"/>
    <w:multiLevelType w:val="hybridMultilevel"/>
    <w:tmpl w:val="00011EAE"/>
    <w:lvl w:ilvl="0" w:tplc="000003B3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BF5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21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B8D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DC7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39D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ECB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3EA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22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00CB"/>
    <w:multiLevelType w:val="hybridMultilevel"/>
    <w:tmpl w:val="0000CE7E"/>
    <w:lvl w:ilvl="0" w:tplc="00001E91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4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67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46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B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1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A9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41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08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0B21"/>
    <w:multiLevelType w:val="hybridMultilevel"/>
    <w:tmpl w:val="0000A1DA"/>
    <w:lvl w:ilvl="0" w:tplc="000014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9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1163"/>
    <w:multiLevelType w:val="hybridMultilevel"/>
    <w:tmpl w:val="000091D2"/>
    <w:lvl w:ilvl="0" w:tplc="000015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5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1D00"/>
    <w:multiLevelType w:val="hybridMultilevel"/>
    <w:tmpl w:val="00009D61"/>
    <w:lvl w:ilvl="0" w:tplc="00002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3697"/>
    <w:multiLevelType w:val="hybridMultilevel"/>
    <w:tmpl w:val="00002D2A"/>
    <w:lvl w:ilvl="0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404F"/>
    <w:multiLevelType w:val="hybridMultilevel"/>
    <w:tmpl w:val="0000835F"/>
    <w:lvl w:ilvl="0" w:tplc="000024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7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476C"/>
    <w:multiLevelType w:val="hybridMultilevel"/>
    <w:tmpl w:val="000181C2"/>
    <w:lvl w:ilvl="0" w:tplc="000001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4EB0"/>
    <w:multiLevelType w:val="hybridMultilevel"/>
    <w:tmpl w:val="0000FBBB"/>
    <w:lvl w:ilvl="0" w:tplc="00000F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A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9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51AB"/>
    <w:multiLevelType w:val="hybridMultilevel"/>
    <w:tmpl w:val="00012B3A"/>
    <w:lvl w:ilvl="0" w:tplc="00000E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6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6380"/>
    <w:multiLevelType w:val="hybridMultilevel"/>
    <w:tmpl w:val="0000ED6D"/>
    <w:lvl w:ilvl="0" w:tplc="00001B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16524"/>
    <w:multiLevelType w:val="hybridMultilevel"/>
    <w:tmpl w:val="0000988C"/>
    <w:lvl w:ilvl="0" w:tplc="000017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F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684D"/>
    <w:multiLevelType w:val="hybridMultilevel"/>
    <w:tmpl w:val="000012AC"/>
    <w:lvl w:ilvl="0" w:tplc="00000F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9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8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B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1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2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C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3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7741"/>
    <w:multiLevelType w:val="hybridMultilevel"/>
    <w:tmpl w:val="00002ADF"/>
    <w:lvl w:ilvl="0" w:tplc="00000A3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3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2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EC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7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4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F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7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0">
    <w:nsid w:val="000181C9"/>
    <w:multiLevelType w:val="hybridMultilevel"/>
    <w:tmpl w:val="00004364"/>
    <w:lvl w:ilvl="0" w:tplc="0000182D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B83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DD1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C9F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954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E82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DF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C66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ABE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827F"/>
    <w:multiLevelType w:val="hybridMultilevel"/>
    <w:tmpl w:val="0001844F"/>
    <w:lvl w:ilvl="0" w:tplc="000021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39"/>
  </w:num>
  <w:num w:numId="3">
    <w:abstractNumId w:val="4"/>
  </w:num>
  <w:num w:numId="4">
    <w:abstractNumId w:val="15"/>
  </w:num>
  <w:num w:numId="5">
    <w:abstractNumId w:val="40"/>
  </w:num>
  <w:num w:numId="6">
    <w:abstractNumId w:val="38"/>
  </w:num>
  <w:num w:numId="7">
    <w:abstractNumId w:val="8"/>
  </w:num>
  <w:num w:numId="8">
    <w:abstractNumId w:val="16"/>
  </w:num>
  <w:num w:numId="9">
    <w:abstractNumId w:val="33"/>
  </w:num>
  <w:num w:numId="10">
    <w:abstractNumId w:val="14"/>
  </w:num>
  <w:num w:numId="11">
    <w:abstractNumId w:val="32"/>
  </w:num>
  <w:num w:numId="12">
    <w:abstractNumId w:val="22"/>
  </w:num>
  <w:num w:numId="13">
    <w:abstractNumId w:val="35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  <w:num w:numId="18">
    <w:abstractNumId w:val="21"/>
  </w:num>
  <w:num w:numId="19">
    <w:abstractNumId w:val="17"/>
  </w:num>
  <w:num w:numId="20">
    <w:abstractNumId w:val="27"/>
  </w:num>
  <w:num w:numId="21">
    <w:abstractNumId w:val="29"/>
  </w:num>
  <w:num w:numId="22">
    <w:abstractNumId w:val="30"/>
  </w:num>
  <w:num w:numId="23">
    <w:abstractNumId w:val="12"/>
  </w:num>
  <w:num w:numId="24">
    <w:abstractNumId w:val="36"/>
  </w:num>
  <w:num w:numId="25">
    <w:abstractNumId w:val="7"/>
  </w:num>
  <w:num w:numId="26">
    <w:abstractNumId w:val="2"/>
  </w:num>
  <w:num w:numId="27">
    <w:abstractNumId w:val="37"/>
  </w:num>
  <w:num w:numId="28">
    <w:abstractNumId w:val="5"/>
  </w:num>
  <w:num w:numId="29">
    <w:abstractNumId w:val="11"/>
  </w:num>
  <w:num w:numId="30">
    <w:abstractNumId w:val="24"/>
  </w:num>
  <w:num w:numId="31">
    <w:abstractNumId w:val="34"/>
  </w:num>
  <w:num w:numId="32">
    <w:abstractNumId w:val="31"/>
  </w:num>
  <w:num w:numId="33">
    <w:abstractNumId w:val="26"/>
  </w:num>
  <w:num w:numId="34">
    <w:abstractNumId w:val="23"/>
  </w:num>
  <w:num w:numId="35">
    <w:abstractNumId w:val="9"/>
  </w:num>
  <w:num w:numId="36">
    <w:abstractNumId w:val="28"/>
  </w:num>
  <w:num w:numId="37">
    <w:abstractNumId w:val="19"/>
  </w:num>
  <w:num w:numId="38">
    <w:abstractNumId w:val="25"/>
  </w:num>
  <w:num w:numId="39">
    <w:abstractNumId w:val="0"/>
  </w:num>
  <w:num w:numId="40">
    <w:abstractNumId w:val="41"/>
  </w:num>
  <w:num w:numId="41">
    <w:abstractNumId w:val="1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A7B3A"/>
    <w:rsid w:val="00FA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11502</Words>
  <Characters>65566</Characters>
  <Application>Microsoft Office Word</Application>
  <DocSecurity>4</DocSecurity>
  <Lines>546</Lines>
  <Paragraphs>153</Paragraphs>
  <ScaleCrop>false</ScaleCrop>
  <Company/>
  <LinksUpToDate>false</LinksUpToDate>
  <CharactersWithSpaces>76915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2016-03-28T13:33:00Z</dcterms:created>
  <dcterms:modified xsi:type="dcterms:W3CDTF">2016-03-28T13:33:00Z</dcterms:modified>
</cp:coreProperties>
</file>