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-778510</wp:posOffset>
            </wp:positionV>
            <wp:extent cx="542925" cy="71501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C58D3">
      <w:pPr>
        <w:widowControl w:val="0"/>
        <w:tabs>
          <w:tab w:val="left" w:pos="6718"/>
        </w:tabs>
        <w:autoSpaceDE w:val="0"/>
        <w:autoSpaceDN w:val="0"/>
        <w:adjustRightInd w:val="0"/>
        <w:spacing w:after="0" w:line="330" w:lineRule="exact"/>
        <w:ind w:left="324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C58D3">
      <w:pPr>
        <w:widowControl w:val="0"/>
        <w:tabs>
          <w:tab w:val="left" w:pos="7145"/>
        </w:tabs>
        <w:autoSpaceDE w:val="0"/>
        <w:autoSpaceDN w:val="0"/>
        <w:adjustRightInd w:val="0"/>
        <w:spacing w:before="17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15" w:lineRule="exact"/>
        <w:ind w:left="6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09.10.2015     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735 </w:t>
      </w:r>
    </w:p>
    <w:p w:rsidR="00000000" w:rsidRDefault="00FC58D3">
      <w:pPr>
        <w:widowControl w:val="0"/>
        <w:autoSpaceDE w:val="0"/>
        <w:autoSpaceDN w:val="0"/>
        <w:adjustRightInd w:val="0"/>
        <w:spacing w:before="15"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58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1786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5-00-44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9" w:right="494" w:bottom="660" w:left="1419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left="24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left="794" w:right="3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2016- 2018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66" w:right="720" w:bottom="660" w:left="1419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left="6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2303" w:space="796"/>
            <w:col w:w="4001" w:space="541"/>
            <w:col w:w="1672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left="78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2016- 2018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160" w:space="939"/>
            <w:col w:w="6269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before="235" w:after="0" w:line="280" w:lineRule="exact"/>
        <w:ind w:right="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6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вызвана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негативное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Сложившаяся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стабилизации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before="235"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6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5" w:lineRule="exact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0" w:lineRule="exact"/>
        <w:ind w:right="-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001" w:space="98"/>
            <w:col w:w="6215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73" w:lineRule="exact"/>
        <w:ind w:left="3099" w:righ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6" w:lineRule="exact"/>
        <w:ind w:left="3099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</w:t>
      </w:r>
      <w:r>
        <w:rPr>
          <w:rFonts w:ascii="Times New Roman" w:hAnsi="Times New Roman" w:cs="Times New Roman"/>
          <w:color w:val="000000"/>
          <w:sz w:val="24"/>
          <w:szCs w:val="24"/>
        </w:rPr>
        <w:t>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5" w:lineRule="exact"/>
        <w:ind w:left="3099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Несмотря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2015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9,7%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113;  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-124),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84,6%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13,  2015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 24).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85,4%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91,3%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89,5%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трировано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-2,  (-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50,0%).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(33,3%),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-0 (-100,0%),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-3,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3,9%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49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-51),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2,6% -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39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38,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250,0%.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25,0% - 3(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4).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83,3%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68,4%),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раскрываемость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грабежей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100%(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100,0%).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66,7%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 (2014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коррипции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  (2014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2,  +  150,0%)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(2014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37,0% (2014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27,5 2015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-17)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32" w:left="1419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left="3078" w:righ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-16)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краж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left="3078" w:righ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40,0% - 3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-5).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3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  (+76,0%),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алкогольного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опьянения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(+27,8%;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46).  </w:t>
      </w:r>
    </w:p>
    <w:p w:rsidR="00000000" w:rsidRDefault="00FC58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3" w:lineRule="exact"/>
        <w:ind w:left="3078" w:right="4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3325 </w:t>
      </w:r>
      <w:r>
        <w:rPr>
          <w:rFonts w:ascii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3234, +2,8%),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ПДД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1992  (2014 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-1912,  +4,2%.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взыскаемости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44,6%.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left="3078"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C58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3078" w:right="4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3078" w:right="4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78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C58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3078" w:right="42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5" w:lineRule="exact"/>
        <w:ind w:left="3078" w:right="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отрицате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неразвитость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6" w:lineRule="exact"/>
        <w:ind w:left="3078" w:righ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порождает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безысходности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307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8" w:lineRule="exact"/>
        <w:ind w:left="3078" w:right="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3" w:lineRule="exact"/>
        <w:ind w:left="3078" w:right="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3" w:lineRule="exact"/>
        <w:ind w:left="3078" w:right="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left="3078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серьезной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41" w:left="1440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73" w:lineRule="exact"/>
        <w:ind w:left="3099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(2017-2018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tabs>
          <w:tab w:val="left" w:pos="313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6" w:lineRule="exact"/>
        <w:ind w:left="3099" w:righ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8" w:lineRule="exact"/>
        <w:ind w:left="3099" w:right="36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60" w:left="1419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240,  0 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right="3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80, 0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2017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-  80, 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2018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80, 0 </w:t>
      </w:r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41" w:space="158"/>
            <w:col w:w="6214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9" w:right="355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FC58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hAnsi="Times New Roman" w:cs="Times New Roman"/>
          <w:color w:val="000000"/>
          <w:sz w:val="24"/>
          <w:szCs w:val="24"/>
        </w:rPr>
        <w:t>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C58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00000" w:rsidRDefault="00FC58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тяжесть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-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3" w:space="720" w:equalWidth="0">
            <w:col w:w="2941" w:space="158"/>
            <w:col w:w="6214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138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left="298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before="285" w:after="0" w:line="320" w:lineRule="exact"/>
        <w:ind w:right="11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10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9,7%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113;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-124),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84,6%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13, 2015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.- 24).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85,4%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91,3%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89,5%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40" w:lineRule="exact"/>
        <w:ind w:right="1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 </w:t>
      </w:r>
      <w:r>
        <w:rPr>
          <w:rFonts w:ascii="Times New Roman" w:hAnsi="Times New Roman" w:cs="Times New Roman"/>
          <w:color w:val="000000"/>
          <w:sz w:val="28"/>
          <w:szCs w:val="24"/>
        </w:rPr>
        <w:t>убийство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-2,  (-50,0%).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Зафиксировано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(33,3%),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-0 (-100,0%),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-3,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ПТВЗ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100,5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3,9%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-51),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2,6%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38,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250,0%.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25,0% - 3(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4).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space="720" w:equalWidth="0">
            <w:col w:w="10133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83,3%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68,4%),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</w:t>
      </w:r>
      <w:r>
        <w:rPr>
          <w:rFonts w:ascii="Times New Roman" w:hAnsi="Times New Roman" w:cs="Times New Roman"/>
          <w:color w:val="000000"/>
          <w:sz w:val="28"/>
          <w:szCs w:val="24"/>
        </w:rPr>
        <w:t>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100,0%).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66,7%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222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</w:t>
      </w:r>
      <w:r>
        <w:rPr>
          <w:rFonts w:ascii="Times New Roman" w:hAnsi="Times New Roman" w:cs="Times New Roman"/>
          <w:color w:val="000000"/>
          <w:sz w:val="28"/>
          <w:szCs w:val="24"/>
        </w:rPr>
        <w:t>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+ 150,0%)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37,0%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27,5 2015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-17)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11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-16)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40,0% - 3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-5).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(+76,0%),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опьянения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(+27,8%;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46).  </w:t>
      </w:r>
    </w:p>
    <w:p w:rsidR="00000000" w:rsidRDefault="00FC58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3325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3234, +2,8%),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ПДД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1992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</w:t>
      </w:r>
    </w:p>
    <w:p w:rsidR="00000000" w:rsidRDefault="00FC58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+4,2%.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штрафов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44,6%.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</w:t>
      </w:r>
      <w:r>
        <w:rPr>
          <w:rFonts w:ascii="Times New Roman" w:hAnsi="Times New Roman" w:cs="Times New Roman"/>
          <w:color w:val="000000"/>
          <w:sz w:val="28"/>
          <w:szCs w:val="24"/>
        </w:rPr>
        <w:t>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58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раскрытию</w:t>
      </w:r>
    </w:p>
    <w:p w:rsidR="00000000" w:rsidRDefault="00FC58D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4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</w:t>
      </w:r>
      <w:r>
        <w:rPr>
          <w:rFonts w:ascii="Times New Roman" w:hAnsi="Times New Roman" w:cs="Times New Roman"/>
          <w:color w:val="000000"/>
          <w:sz w:val="28"/>
          <w:szCs w:val="24"/>
        </w:rPr>
        <w:t>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неразвитость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безысходности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4" w:bottom="660" w:left="1419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</w:t>
      </w:r>
      <w:r>
        <w:rPr>
          <w:rFonts w:ascii="Times New Roman" w:hAnsi="Times New Roman" w:cs="Times New Roman"/>
          <w:color w:val="000000"/>
          <w:sz w:val="28"/>
          <w:szCs w:val="24"/>
        </w:rPr>
        <w:t>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C58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90" w:after="0" w:line="330" w:lineRule="exact"/>
        <w:ind w:left="10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</w:t>
      </w:r>
      <w:r>
        <w:rPr>
          <w:rFonts w:ascii="Times New Roman" w:hAnsi="Times New Roman" w:cs="Times New Roman"/>
          <w:color w:val="000000"/>
          <w:sz w:val="28"/>
          <w:szCs w:val="24"/>
        </w:rPr>
        <w:t>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C58D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90" w:after="0" w:line="330" w:lineRule="exact"/>
        <w:ind w:left="295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240, </w:t>
      </w:r>
    </w:p>
    <w:p w:rsidR="00000000" w:rsidRDefault="00FC58D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20" w:lineRule="exact"/>
        <w:ind w:left="629" w:right="64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80, 0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>.; 2017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80,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2018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80, 0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5" w:bottom="660" w:left="1419" w:header="0" w:footer="0" w:gutter="0"/>
          <w:cols w:space="720"/>
          <w:noEndnote/>
        </w:sectPr>
      </w:pPr>
    </w:p>
    <w:p w:rsidR="00000000" w:rsidRDefault="00FC58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111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left="41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C58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70" w:after="0" w:line="330" w:lineRule="exact"/>
        <w:ind w:left="85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C58D3">
      <w:pPr>
        <w:widowControl w:val="0"/>
        <w:autoSpaceDE w:val="0"/>
        <w:autoSpaceDN w:val="0"/>
        <w:adjustRightInd w:val="0"/>
        <w:spacing w:before="285"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</w:t>
      </w:r>
      <w:r>
        <w:rPr>
          <w:rFonts w:ascii="Times New Roman" w:hAnsi="Times New Roman" w:cs="Times New Roman"/>
          <w:color w:val="000000"/>
          <w:sz w:val="28"/>
          <w:szCs w:val="24"/>
        </w:rPr>
        <w:t>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C58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70" w:after="0" w:line="330" w:lineRule="exact"/>
        <w:ind w:left="118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left="32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C58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7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</w:p>
    <w:p w:rsidR="00000000" w:rsidRDefault="00FC58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4"/>
        </w:rPr>
        <w:t>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</w:t>
      </w:r>
      <w:r>
        <w:rPr>
          <w:rFonts w:ascii="Times New Roman" w:hAnsi="Times New Roman" w:cs="Times New Roman"/>
          <w:color w:val="000000"/>
          <w:sz w:val="28"/>
          <w:szCs w:val="24"/>
        </w:rPr>
        <w:t>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C58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8" w:right="430" w:bottom="612" w:left="1419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85" w:lineRule="exact"/>
        <w:ind w:left="1117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3" w:lineRule="exact"/>
        <w:ind w:left="11178" w:right="66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C58D3">
      <w:pPr>
        <w:widowControl w:val="0"/>
        <w:tabs>
          <w:tab w:val="left" w:pos="13254"/>
        </w:tabs>
        <w:autoSpaceDE w:val="0"/>
        <w:autoSpaceDN w:val="0"/>
        <w:adjustRightInd w:val="0"/>
        <w:spacing w:after="0" w:line="275" w:lineRule="exact"/>
        <w:ind w:left="11178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2016 -2018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315" w:lineRule="exact"/>
        <w:ind w:left="563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4"/>
        </w:rPr>
        <w:t>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numPr>
          <w:ilvl w:val="0"/>
          <w:numId w:val="29"/>
        </w:numPr>
        <w:tabs>
          <w:tab w:val="left" w:pos="13984"/>
        </w:tabs>
        <w:autoSpaceDE w:val="0"/>
        <w:autoSpaceDN w:val="0"/>
        <w:adjustRightInd w:val="0"/>
        <w:spacing w:before="25" w:after="0" w:line="315" w:lineRule="exact"/>
        <w:ind w:left="1270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tabs>
          <w:tab w:val="left" w:pos="10577"/>
        </w:tabs>
        <w:autoSpaceDE w:val="0"/>
        <w:autoSpaceDN w:val="0"/>
        <w:adjustRightInd w:val="0"/>
        <w:spacing w:before="5" w:after="0" w:line="315" w:lineRule="exact"/>
        <w:ind w:left="521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656" w:bottom="660" w:left="607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55" w:lineRule="exact"/>
        <w:ind w:left="1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tabs>
          <w:tab w:val="left" w:pos="24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Ответ</w:t>
      </w:r>
      <w:r>
        <w:rPr>
          <w:rFonts w:ascii="Times New Roman" w:hAnsi="Times New Roman" w:cs="Times New Roman"/>
          <w:color w:val="4F4F4F"/>
          <w:sz w:val="20"/>
          <w:szCs w:val="24"/>
        </w:rPr>
        <w:t>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6" w:space="720" w:equalWidth="0">
            <w:col w:w="333" w:space="656"/>
            <w:col w:w="2433" w:space="869"/>
            <w:col w:w="1046" w:space="6087"/>
            <w:col w:w="1543" w:space="647"/>
            <w:col w:w="1960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left="60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( 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C58D3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t>2016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2017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tabs>
          <w:tab w:val="left" w:pos="42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2018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7" w:space="720" w:equalWidth="0">
            <w:col w:w="7864" w:space="311"/>
            <w:col w:w="422" w:space="563"/>
            <w:col w:w="446" w:space="843"/>
            <w:col w:w="439" w:space="2149"/>
            <w:col w:w="50" w:space="2213"/>
            <w:col w:w="50" w:space="0"/>
            <w:col w:w="-1"/>
          </w:cols>
          <w:noEndnote/>
        </w:sectPr>
      </w:pPr>
    </w:p>
    <w:p w:rsidR="00000000" w:rsidRDefault="00FC58D3">
      <w:pPr>
        <w:widowControl w:val="0"/>
        <w:numPr>
          <w:ilvl w:val="0"/>
          <w:numId w:val="30"/>
        </w:numPr>
        <w:tabs>
          <w:tab w:val="left" w:pos="1975"/>
          <w:tab w:val="left" w:pos="6468"/>
          <w:tab w:val="left" w:pos="8410"/>
          <w:tab w:val="left" w:pos="9401"/>
          <w:tab w:val="left" w:pos="10729"/>
          <w:tab w:val="left" w:pos="12166"/>
          <w:tab w:val="left" w:pos="14500"/>
        </w:tabs>
        <w:autoSpaceDE w:val="0"/>
        <w:autoSpaceDN w:val="0"/>
        <w:adjustRightInd w:val="0"/>
        <w:spacing w:after="0" w:line="225" w:lineRule="exact"/>
        <w:ind w:left="35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2 3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9 </w:t>
      </w:r>
    </w:p>
    <w:p w:rsidR="00000000" w:rsidRDefault="00FC58D3">
      <w:pPr>
        <w:widowControl w:val="0"/>
        <w:tabs>
          <w:tab w:val="left" w:pos="10436"/>
        </w:tabs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Раздел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space="720" w:equalWidth="0">
            <w:col w:w="1557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2"/>
        <w:gridCol w:w="1123"/>
        <w:gridCol w:w="2199"/>
        <w:gridCol w:w="19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59" w:bottom="660" w:left="646" w:header="0" w:footer="0" w:gutter="0"/>
          <w:cols w:space="720"/>
          <w:noEndnote/>
        </w:sectPr>
      </w:pPr>
    </w:p>
    <w:p w:rsidR="00000000" w:rsidRDefault="00FC58D3">
      <w:pPr>
        <w:widowControl w:val="0"/>
        <w:tabs>
          <w:tab w:val="left" w:pos="539"/>
        </w:tabs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подвалов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чердаков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0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9" w:bottom="720" w:left="646" w:header="720" w:footer="720" w:gutter="0"/>
          <w:cols w:num="9" w:space="720" w:equalWidth="0">
            <w:col w:w="3940" w:space="304"/>
            <w:col w:w="1370" w:space="416"/>
            <w:col w:w="50" w:space="1899"/>
            <w:col w:w="50" w:space="1083"/>
            <w:col w:w="50" w:space="1093"/>
            <w:col w:w="50" w:space="1073"/>
            <w:col w:w="2082" w:space="117"/>
            <w:col w:w="1832" w:space="0"/>
            <w:col w:w="-1"/>
          </w:cols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3"/>
        <w:gridCol w:w="1123"/>
        <w:gridCol w:w="2199"/>
        <w:gridCol w:w="1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3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60" w:bottom="660" w:left="607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0"/>
          <w:szCs w:val="24"/>
        </w:rPr>
        <w:t>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0" w:bottom="720" w:left="607" w:header="720" w:footer="720" w:gutter="0"/>
          <w:cols w:num="9" w:space="720" w:equalWidth="0">
            <w:col w:w="3783" w:space="470"/>
            <w:col w:w="1370" w:space="473"/>
            <w:col w:w="50" w:space="1791"/>
            <w:col w:w="50" w:space="1227"/>
            <w:col w:w="50" w:space="1085"/>
            <w:col w:w="50" w:space="1083"/>
            <w:col w:w="1732" w:space="400"/>
            <w:col w:w="185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6" w:bottom="660" w:left="607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освобожденных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лиш</w:t>
      </w:r>
      <w:r>
        <w:rPr>
          <w:rFonts w:ascii="Times New Roman" w:hAnsi="Times New Roman" w:cs="Times New Roman"/>
          <w:color w:val="000000"/>
          <w:sz w:val="20"/>
          <w:szCs w:val="24"/>
        </w:rPr>
        <w:t>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безработных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испытывающих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поиске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обслужив</w:t>
      </w:r>
      <w:r>
        <w:rPr>
          <w:rFonts w:ascii="Times New Roman" w:hAnsi="Times New Roman" w:cs="Times New Roman"/>
          <w:color w:val="000000"/>
          <w:sz w:val="20"/>
          <w:szCs w:val="24"/>
        </w:rPr>
        <w:t>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30" w:lineRule="exact"/>
        <w:ind w:left="0" w:right="25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num="9" w:space="720" w:equalWidth="0">
            <w:col w:w="3909" w:space="344"/>
            <w:col w:w="1370" w:space="473"/>
            <w:col w:w="50" w:space="1791"/>
            <w:col w:w="50" w:space="1227"/>
            <w:col w:w="50" w:space="1085"/>
            <w:col w:w="50" w:space="1083"/>
            <w:col w:w="1800" w:space="332"/>
            <w:col w:w="1930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2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space="720" w:equalWidth="0">
            <w:col w:w="1554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хищения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25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</w:t>
      </w:r>
      <w:r>
        <w:rPr>
          <w:rFonts w:ascii="Times New Roman" w:hAnsi="Times New Roman" w:cs="Times New Roman"/>
          <w:color w:val="000000"/>
          <w:sz w:val="20"/>
          <w:szCs w:val="24"/>
        </w:rPr>
        <w:t>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94" w:bottom="660" w:left="607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33" w:lineRule="exact"/>
        <w:ind w:right="6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left="566" w:right="43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декриминализацию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>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межрайонная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ИФНС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),</w:t>
      </w:r>
      <w:r>
        <w:rPr>
          <w:rFonts w:ascii="Times New Roman" w:hAnsi="Times New Roman" w:cs="Times New Roman"/>
          <w:color w:val="000000"/>
          <w:sz w:val="20"/>
          <w:szCs w:val="24"/>
        </w:rPr>
        <w:t>адми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4" w:bottom="720" w:left="607" w:header="720" w:footer="720" w:gutter="0"/>
          <w:cols w:num="9" w:space="720" w:equalWidth="0">
            <w:col w:w="3892" w:space="361"/>
            <w:col w:w="1370" w:space="473"/>
            <w:col w:w="50" w:space="1791"/>
            <w:col w:w="50" w:space="1227"/>
            <w:col w:w="50" w:space="1085"/>
            <w:col w:w="50" w:space="1083"/>
            <w:col w:w="1821" w:space="310"/>
            <w:col w:w="171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консолидированного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24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07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фальсифицированной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дискотеках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11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7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7.4.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exact"/>
        <w:ind w:left="566" w:right="26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подготавливаемых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</w:t>
      </w:r>
      <w:r>
        <w:rPr>
          <w:rFonts w:ascii="Times New Roman" w:hAnsi="Times New Roman" w:cs="Times New Roman"/>
          <w:color w:val="000000"/>
          <w:sz w:val="20"/>
          <w:szCs w:val="24"/>
        </w:rPr>
        <w:t>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4" w:bottom="720" w:left="607" w:header="720" w:footer="720" w:gutter="0"/>
          <w:cols w:num="9" w:space="720" w:equalWidth="0">
            <w:col w:w="3936" w:space="317"/>
            <w:col w:w="1370" w:space="473"/>
            <w:col w:w="50" w:space="1791"/>
            <w:col w:w="50" w:space="1227"/>
            <w:col w:w="50" w:space="1085"/>
            <w:col w:w="50" w:space="1083"/>
            <w:col w:w="1474" w:space="658"/>
            <w:col w:w="192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дислокации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стереотипов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Снабжение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Народная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дружина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одежды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удостоверениями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25,0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91" w:bottom="660" w:left="607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25,0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1" w:bottom="720" w:left="607" w:header="720" w:footer="720" w:gutter="0"/>
          <w:cols w:num="9" w:space="720" w:equalWidth="0">
            <w:col w:w="2150" w:space="2103"/>
            <w:col w:w="1370" w:space="473"/>
            <w:col w:w="50" w:space="1791"/>
            <w:col w:w="400" w:space="877"/>
            <w:col w:w="50" w:space="1085"/>
            <w:col w:w="50" w:space="1083"/>
            <w:col w:w="50" w:space="2082"/>
            <w:col w:w="50" w:space="0"/>
            <w:col w:w="-1"/>
          </w:cols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1" w:bottom="720" w:left="607" w:header="720" w:footer="720" w:gutter="0"/>
          <w:cols w:space="720" w:equalWidth="0">
            <w:col w:w="155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9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корреспондентов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Журналист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еняет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профессию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последующим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освещением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авторитета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2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>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1985"/>
        <w:gridCol w:w="1841"/>
        <w:gridCol w:w="1277"/>
        <w:gridCol w:w="1277"/>
        <w:gridCol w:w="991"/>
        <w:gridCol w:w="2132"/>
        <w:gridCol w:w="19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ксерокс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2016-2018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65" w:bottom="660" w:left="607" w:header="0" w:footer="0" w:gutter="0"/>
          <w:cols w:space="720"/>
          <w:noEndnote/>
        </w:sectPr>
      </w:pP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20,0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45,0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45,0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5" w:bottom="720" w:left="607" w:header="720" w:footer="720" w:gutter="0"/>
          <w:cols w:num="9" w:space="720" w:equalWidth="0">
            <w:col w:w="2150" w:space="1961"/>
            <w:col w:w="50" w:space="1936"/>
            <w:col w:w="50" w:space="1791"/>
            <w:col w:w="400" w:space="877"/>
            <w:col w:w="400" w:space="877"/>
            <w:col w:w="400" w:space="591"/>
            <w:col w:w="50" w:space="2082"/>
            <w:col w:w="50" w:space="0"/>
            <w:col w:w="-1"/>
          </w:cols>
          <w:noEndnote/>
        </w:sect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986"/>
        <w:gridCol w:w="1841"/>
        <w:gridCol w:w="1277"/>
        <w:gridCol w:w="1277"/>
        <w:gridCol w:w="991"/>
        <w:gridCol w:w="2132"/>
        <w:gridCol w:w="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240,0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80,0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80,0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C58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C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C58D3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Долганова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C58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1331" w:right="264" w:bottom="660" w:left="56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4C9"/>
    <w:multiLevelType w:val="hybridMultilevel"/>
    <w:tmpl w:val="0000C520"/>
    <w:lvl w:ilvl="0" w:tplc="000004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2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30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7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0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2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2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F9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7DC"/>
    <w:multiLevelType w:val="hybridMultilevel"/>
    <w:tmpl w:val="0000AAA9"/>
    <w:lvl w:ilvl="0" w:tplc="000020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B8D"/>
    <w:multiLevelType w:val="hybridMultilevel"/>
    <w:tmpl w:val="00014708"/>
    <w:lvl w:ilvl="0" w:tplc="00001A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354"/>
    <w:multiLevelType w:val="hybridMultilevel"/>
    <w:tmpl w:val="00008887"/>
    <w:lvl w:ilvl="0" w:tplc="00001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F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5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1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2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3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D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85A"/>
    <w:multiLevelType w:val="hybridMultilevel"/>
    <w:tmpl w:val="0000A4B3"/>
    <w:lvl w:ilvl="0" w:tplc="000004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4A5"/>
    <w:multiLevelType w:val="hybridMultilevel"/>
    <w:tmpl w:val="0001852C"/>
    <w:lvl w:ilvl="0" w:tplc="000021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54C"/>
    <w:multiLevelType w:val="hybridMultilevel"/>
    <w:tmpl w:val="000170C5"/>
    <w:lvl w:ilvl="0" w:tplc="00001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D3F"/>
    <w:multiLevelType w:val="hybridMultilevel"/>
    <w:tmpl w:val="00013B28"/>
    <w:lvl w:ilvl="0" w:tplc="000024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D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0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FAA"/>
    <w:multiLevelType w:val="hybridMultilevel"/>
    <w:tmpl w:val="00014F5F"/>
    <w:lvl w:ilvl="0" w:tplc="00000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9A1"/>
    <w:multiLevelType w:val="hybridMultilevel"/>
    <w:tmpl w:val="0000C885"/>
    <w:lvl w:ilvl="0" w:tplc="000012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2E3"/>
    <w:multiLevelType w:val="hybridMultilevel"/>
    <w:tmpl w:val="0000B276"/>
    <w:lvl w:ilvl="0" w:tplc="0000187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0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3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03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C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F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A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D6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A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755A"/>
    <w:multiLevelType w:val="hybridMultilevel"/>
    <w:tmpl w:val="00007B81"/>
    <w:lvl w:ilvl="0" w:tplc="00000D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73C"/>
    <w:multiLevelType w:val="hybridMultilevel"/>
    <w:tmpl w:val="0000EA79"/>
    <w:lvl w:ilvl="0" w:tplc="000004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9130"/>
    <w:multiLevelType w:val="hybridMultilevel"/>
    <w:tmpl w:val="0000C43A"/>
    <w:lvl w:ilvl="0" w:tplc="00000D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9ADF"/>
    <w:multiLevelType w:val="hybridMultilevel"/>
    <w:tmpl w:val="0000EAB9"/>
    <w:lvl w:ilvl="0" w:tplc="00000D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B354"/>
    <w:multiLevelType w:val="hybridMultilevel"/>
    <w:tmpl w:val="00016152"/>
    <w:lvl w:ilvl="0" w:tplc="000011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7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C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0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8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BBE0"/>
    <w:multiLevelType w:val="hybridMultilevel"/>
    <w:tmpl w:val="00011D1F"/>
    <w:lvl w:ilvl="0" w:tplc="00001C80">
      <w:start w:val="19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8C">
      <w:start w:val="19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4">
      <w:start w:val="19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E">
      <w:start w:val="19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6">
      <w:start w:val="19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59">
      <w:start w:val="19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C0">
      <w:start w:val="19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15">
      <w:start w:val="19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70">
      <w:start w:val="19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D76A"/>
    <w:multiLevelType w:val="hybridMultilevel"/>
    <w:tmpl w:val="00015764"/>
    <w:lvl w:ilvl="0" w:tplc="000018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DD41"/>
    <w:multiLevelType w:val="hybridMultilevel"/>
    <w:tmpl w:val="0000DF50"/>
    <w:lvl w:ilvl="0" w:tplc="000014B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F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8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9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8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F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9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3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B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F11E"/>
    <w:multiLevelType w:val="hybridMultilevel"/>
    <w:tmpl w:val="0000597C"/>
    <w:lvl w:ilvl="0" w:tplc="000000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F7DD"/>
    <w:multiLevelType w:val="hybridMultilevel"/>
    <w:tmpl w:val="000015F8"/>
    <w:lvl w:ilvl="0" w:tplc="00000F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F894"/>
    <w:multiLevelType w:val="hybridMultilevel"/>
    <w:tmpl w:val="0000CB35"/>
    <w:lvl w:ilvl="0" w:tplc="000019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0471"/>
    <w:multiLevelType w:val="hybridMultilevel"/>
    <w:tmpl w:val="00000356"/>
    <w:lvl w:ilvl="0" w:tplc="000026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3571"/>
    <w:multiLevelType w:val="hybridMultilevel"/>
    <w:tmpl w:val="0000851F"/>
    <w:lvl w:ilvl="0" w:tplc="000007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4745"/>
    <w:multiLevelType w:val="hybridMultilevel"/>
    <w:tmpl w:val="00003DB2"/>
    <w:lvl w:ilvl="0" w:tplc="000006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9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49ED"/>
    <w:multiLevelType w:val="hybridMultilevel"/>
    <w:tmpl w:val="0000038B"/>
    <w:lvl w:ilvl="0" w:tplc="0000056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8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9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A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A6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4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4CBB"/>
    <w:multiLevelType w:val="hybridMultilevel"/>
    <w:tmpl w:val="00007490"/>
    <w:lvl w:ilvl="0" w:tplc="000019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E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9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5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8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2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9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53E4"/>
    <w:multiLevelType w:val="hybridMultilevel"/>
    <w:tmpl w:val="00010352"/>
    <w:lvl w:ilvl="0" w:tplc="000011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71B4"/>
    <w:multiLevelType w:val="hybridMultilevel"/>
    <w:tmpl w:val="0000CB18"/>
    <w:lvl w:ilvl="0" w:tplc="00001F6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7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B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0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6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1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7360"/>
    <w:multiLevelType w:val="hybridMultilevel"/>
    <w:tmpl w:val="00009C4D"/>
    <w:lvl w:ilvl="0" w:tplc="000025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76F8"/>
    <w:multiLevelType w:val="hybridMultilevel"/>
    <w:tmpl w:val="00007E10"/>
    <w:lvl w:ilvl="0" w:tplc="000019D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0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6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D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F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39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7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5">
      <w:numFmt w:val="bullet"/>
      <w:suff w:val="space"/>
      <w:lvlText w:val="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28"/>
  </w:num>
  <w:num w:numId="4">
    <w:abstractNumId w:val="29"/>
  </w:num>
  <w:num w:numId="5">
    <w:abstractNumId w:val="22"/>
  </w:num>
  <w:num w:numId="6">
    <w:abstractNumId w:val="21"/>
  </w:num>
  <w:num w:numId="7">
    <w:abstractNumId w:val="11"/>
  </w:num>
  <w:num w:numId="8">
    <w:abstractNumId w:val="5"/>
  </w:num>
  <w:num w:numId="9">
    <w:abstractNumId w:val="23"/>
  </w:num>
  <w:num w:numId="10">
    <w:abstractNumId w:val="13"/>
  </w:num>
  <w:num w:numId="11">
    <w:abstractNumId w:val="27"/>
  </w:num>
  <w:num w:numId="12">
    <w:abstractNumId w:val="18"/>
  </w:num>
  <w:num w:numId="13">
    <w:abstractNumId w:val="2"/>
  </w:num>
  <w:num w:numId="14">
    <w:abstractNumId w:val="16"/>
  </w:num>
  <w:num w:numId="15">
    <w:abstractNumId w:val="12"/>
  </w:num>
  <w:num w:numId="16">
    <w:abstractNumId w:val="9"/>
  </w:num>
  <w:num w:numId="17">
    <w:abstractNumId w:val="6"/>
  </w:num>
  <w:num w:numId="18">
    <w:abstractNumId w:val="26"/>
  </w:num>
  <w:num w:numId="19">
    <w:abstractNumId w:val="15"/>
  </w:num>
  <w:num w:numId="20">
    <w:abstractNumId w:val="30"/>
  </w:num>
  <w:num w:numId="21">
    <w:abstractNumId w:val="0"/>
  </w:num>
  <w:num w:numId="22">
    <w:abstractNumId w:val="25"/>
  </w:num>
  <w:num w:numId="23">
    <w:abstractNumId w:val="17"/>
  </w:num>
  <w:num w:numId="24">
    <w:abstractNumId w:val="10"/>
  </w:num>
  <w:num w:numId="25">
    <w:abstractNumId w:val="4"/>
  </w:num>
  <w:num w:numId="26">
    <w:abstractNumId w:val="19"/>
  </w:num>
  <w:num w:numId="27">
    <w:abstractNumId w:val="8"/>
  </w:num>
  <w:num w:numId="28">
    <w:abstractNumId w:val="24"/>
  </w:num>
  <w:num w:numId="29">
    <w:abstractNumId w:val="20"/>
  </w:num>
  <w:num w:numId="30">
    <w:abstractNumId w:val="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C58D3"/>
    <w:rsid w:val="00F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6271</Words>
  <Characters>35748</Characters>
  <Application>Microsoft Office Word</Application>
  <DocSecurity>4</DocSecurity>
  <Lines>297</Lines>
  <Paragraphs>83</Paragraphs>
  <ScaleCrop>false</ScaleCrop>
  <Company/>
  <LinksUpToDate>false</LinksUpToDate>
  <CharactersWithSpaces>41936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