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-638810</wp:posOffset>
            </wp:positionV>
            <wp:extent cx="542290" cy="7124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00" w:lineRule="exact"/>
        <w:ind w:left="1745" w:right="146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50A68">
      <w:pPr>
        <w:widowControl w:val="0"/>
        <w:tabs>
          <w:tab w:val="left" w:pos="7265"/>
        </w:tabs>
        <w:autoSpaceDE w:val="0"/>
        <w:autoSpaceDN w:val="0"/>
        <w:adjustRightInd w:val="0"/>
        <w:spacing w:before="295" w:after="0" w:line="335" w:lineRule="exact"/>
        <w:ind w:left="2936" w:right="-38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color w:val="000000"/>
          <w:sz w:val="24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05" w:after="0" w:line="315" w:lineRule="exact"/>
        <w:ind w:left="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01.03.2016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92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tabs>
          <w:tab w:val="left" w:pos="350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</w:t>
      </w:r>
      <w:r>
        <w:rPr>
          <w:rFonts w:ascii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17 91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1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5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60" w:lineRule="exact"/>
        <w:ind w:left="7067" w:right="2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70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«___» ______ 2016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538" w:right="24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50A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37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30" w:lineRule="exact"/>
        <w:ind w:left="146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5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межселенной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30" w:lineRule="exact"/>
        <w:ind w:left="404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7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before="19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2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30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</w:t>
      </w:r>
      <w:r>
        <w:rPr>
          <w:rFonts w:ascii="Times New Roman" w:hAnsi="Times New Roman" w:cs="Times New Roman"/>
          <w:color w:val="000000"/>
          <w:sz w:val="28"/>
          <w:szCs w:val="24"/>
        </w:rPr>
        <w:t>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1464" w:right="116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65" w:after="0" w:line="33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 </w:t>
      </w:r>
    </w:p>
    <w:p w:rsidR="00000000" w:rsidRDefault="00A50A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495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before="185" w:after="0" w:line="320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(84566) 5-00-49;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6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5-00-53 (84566) 5-05-53,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5-05-53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5079" w:space="401"/>
            <w:col w:w="2550" w:space="0"/>
            <w:col w:w="-1"/>
          </w:cols>
          <w:noEndnote/>
        </w:sectPr>
      </w:pPr>
    </w:p>
    <w:p w:rsidR="00000000" w:rsidRDefault="00A50A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A50A68">
      <w:pPr>
        <w:widowControl w:val="0"/>
        <w:tabs>
          <w:tab w:val="left" w:pos="539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 xml:space="preserve">stepnoeadm.ru </w:t>
      </w:r>
    </w:p>
    <w:p w:rsidR="00000000" w:rsidRDefault="00A50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16:00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13:00,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1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3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</w:t>
      </w:r>
      <w:r>
        <w:rPr>
          <w:rFonts w:ascii="Times New Roman" w:hAnsi="Times New Roman" w:cs="Times New Roman"/>
          <w:color w:val="000000"/>
          <w:sz w:val="28"/>
          <w:szCs w:val="24"/>
        </w:rPr>
        <w:t>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stepnoeadm.ru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A50A68">
      <w:pPr>
        <w:widowControl w:val="0"/>
        <w:tabs>
          <w:tab w:val="left" w:pos="545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http://www.mfc64.ru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«call-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(8452) 46-71-99.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1.5.1.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1.5.2.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</w:t>
      </w:r>
      <w:r>
        <w:rPr>
          <w:rFonts w:ascii="Times New Roman" w:hAnsi="Times New Roman" w:cs="Times New Roman"/>
          <w:color w:val="000000"/>
          <w:sz w:val="28"/>
          <w:szCs w:val="24"/>
        </w:rPr>
        <w:t>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4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1.5.3.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1.5.2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1.5.4.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</w:p>
    <w:p w:rsidR="00000000" w:rsidRDefault="00A50A6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802" w:right="2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5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1.5.5.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1.5.6.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выдержек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802" w:right="3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образцов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tabs>
          <w:tab w:val="left" w:pos="465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http://www.mfc64.ru/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6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172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300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1052" w:right="22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828" w:right="4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7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7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ренду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262" w:right="-3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30" w:lineRule="exact"/>
        <w:ind w:left="217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tabs>
          <w:tab w:val="left" w:pos="1855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tabs>
          <w:tab w:val="left" w:pos="1855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tabs>
          <w:tab w:val="left" w:pos="1816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30" w:lineRule="exact"/>
        <w:ind w:left="256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8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совпадают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2.4.2.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>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</w:t>
      </w:r>
      <w:r>
        <w:rPr>
          <w:rFonts w:ascii="Times New Roman" w:hAnsi="Times New Roman" w:cs="Times New Roman"/>
          <w:color w:val="000000"/>
          <w:sz w:val="28"/>
          <w:szCs w:val="24"/>
        </w:rPr>
        <w:t>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</w:t>
      </w:r>
      <w:r>
        <w:rPr>
          <w:rFonts w:ascii="Times New Roman" w:hAnsi="Times New Roman" w:cs="Times New Roman"/>
          <w:color w:val="000000"/>
          <w:sz w:val="28"/>
          <w:szCs w:val="24"/>
        </w:rPr>
        <w:t>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9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39.11, 39.12, 39.13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</w:t>
      </w:r>
      <w:r>
        <w:rPr>
          <w:rFonts w:ascii="Times New Roman" w:hAnsi="Times New Roman" w:cs="Times New Roman"/>
          <w:color w:val="000000"/>
          <w:sz w:val="28"/>
          <w:szCs w:val="24"/>
        </w:rPr>
        <w:t>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20" w:lineRule="exact"/>
        <w:ind w:left="785" w:right="49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202, 8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95, 5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211-212, 30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211-212, 30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75, 08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145, 30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10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5,  01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148-149, 06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148, 02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>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8,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920);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</w:t>
      </w:r>
      <w:r>
        <w:rPr>
          <w:rFonts w:ascii="Times New Roman" w:hAnsi="Times New Roman" w:cs="Times New Roman"/>
          <w:color w:val="000000"/>
          <w:sz w:val="28"/>
          <w:szCs w:val="24"/>
        </w:rPr>
        <w:t>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4823,  20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</w:t>
      </w:r>
      <w:r>
        <w:rPr>
          <w:rFonts w:ascii="Times New Roman" w:hAnsi="Times New Roman" w:cs="Times New Roman"/>
          <w:color w:val="000000"/>
          <w:sz w:val="28"/>
          <w:szCs w:val="24"/>
        </w:rPr>
        <w:t>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http://www.pravo.gov.ru, 18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538" w:right="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11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828" w:right="84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>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2.6.4.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tabs>
          <w:tab w:val="left" w:pos="8269"/>
          <w:tab w:val="left" w:pos="8507"/>
        </w:tabs>
        <w:autoSpaceDE w:val="0"/>
        <w:autoSpaceDN w:val="0"/>
        <w:adjustRightInd w:val="0"/>
        <w:spacing w:after="0" w:line="34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</w:t>
      </w:r>
      <w:r>
        <w:rPr>
          <w:rFonts w:ascii="Times New Roman" w:hAnsi="Times New Roman" w:cs="Times New Roman"/>
          <w:color w:val="000000"/>
          <w:sz w:val="28"/>
          <w:szCs w:val="24"/>
        </w:rPr>
        <w:t>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12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2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2.6.5.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3" w:lineRule="exact"/>
        <w:ind w:left="404" w:right="8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дведомственных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3.3.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50A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5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</w:t>
      </w:r>
      <w:r>
        <w:rPr>
          <w:rFonts w:ascii="Times New Roman" w:hAnsi="Times New Roman" w:cs="Times New Roman"/>
          <w:color w:val="000000"/>
          <w:sz w:val="28"/>
          <w:szCs w:val="24"/>
        </w:rPr>
        <w:t>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13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432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1265" w:right="42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20" w:lineRule="exact"/>
        <w:ind w:left="629" w:right="332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30" w:lineRule="exact"/>
        <w:ind w:left="89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526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совпадает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14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496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2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совпадение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11.9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6-10,  14-20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2.11.2.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15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</w:t>
      </w:r>
      <w:r>
        <w:rPr>
          <w:rFonts w:ascii="Times New Roman" w:hAnsi="Times New Roman" w:cs="Times New Roman"/>
          <w:color w:val="000000"/>
          <w:sz w:val="28"/>
          <w:szCs w:val="24"/>
        </w:rPr>
        <w:t>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</w:t>
      </w:r>
      <w:r>
        <w:rPr>
          <w:rFonts w:ascii="Times New Roman" w:hAnsi="Times New Roman" w:cs="Times New Roman"/>
          <w:color w:val="000000"/>
          <w:sz w:val="28"/>
          <w:szCs w:val="24"/>
        </w:rPr>
        <w:t>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зарезервирован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16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</w:t>
      </w:r>
      <w:r>
        <w:rPr>
          <w:rFonts w:ascii="Times New Roman" w:hAnsi="Times New Roman" w:cs="Times New Roman"/>
          <w:color w:val="000000"/>
          <w:sz w:val="28"/>
          <w:szCs w:val="24"/>
        </w:rPr>
        <w:t>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недобросовестных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17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волеизъявлению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27" w:lineRule="exact"/>
        <w:ind w:left="790" w:right="20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6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936" w:right="103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30" w:lineRule="exact"/>
        <w:ind w:left="464" w:right="3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20" w:lineRule="exact"/>
        <w:ind w:left="627" w:right="32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20" w:lineRule="exact"/>
        <w:ind w:left="1198" w:right="36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1037" w:right="7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18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6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</w:t>
      </w:r>
      <w:r>
        <w:rPr>
          <w:rFonts w:ascii="Times New Roman" w:hAnsi="Times New Roman" w:cs="Times New Roman"/>
          <w:color w:val="000000"/>
          <w:sz w:val="28"/>
          <w:szCs w:val="24"/>
        </w:rPr>
        <w:t>сла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стойками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Каждое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30" w:lineRule="exact"/>
        <w:ind w:left="153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19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36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сурдопереводчика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тифлосурдопереводчика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собаки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некорректное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невнимательное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20" w:lineRule="exact"/>
        <w:ind w:left="1760" w:right="920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учитывающие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50A6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20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экстерриториальности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экстерр</w:t>
      </w:r>
      <w:r>
        <w:rPr>
          <w:rFonts w:ascii="Times New Roman" w:hAnsi="Times New Roman" w:cs="Times New Roman"/>
          <w:color w:val="000000"/>
          <w:sz w:val="28"/>
          <w:szCs w:val="24"/>
        </w:rPr>
        <w:t>иториальности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720" w:right="4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153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65" w:after="0" w:line="34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30" w:lineRule="exact"/>
        <w:ind w:left="251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1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21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1066" w:right="20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ганизации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50A6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7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</w:t>
      </w:r>
      <w:r>
        <w:rPr>
          <w:rFonts w:ascii="Times New Roman" w:hAnsi="Times New Roman" w:cs="Times New Roman"/>
          <w:color w:val="000000"/>
          <w:sz w:val="28"/>
          <w:szCs w:val="24"/>
        </w:rPr>
        <w:t>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22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неработоспособностью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веб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</w:t>
      </w:r>
      <w:r>
        <w:rPr>
          <w:rFonts w:ascii="Times New Roman" w:hAnsi="Times New Roman" w:cs="Times New Roman"/>
          <w:color w:val="000000"/>
          <w:sz w:val="28"/>
          <w:szCs w:val="24"/>
        </w:rPr>
        <w:t>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346" w:right="4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Рассмотре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7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2.10.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2.10.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23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5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2.10.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3.2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2.11.2.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2.11.2.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24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4"/>
        </w:rPr>
        <w:t>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39.11, 39.12, 39.13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</w:t>
      </w:r>
      <w:r>
        <w:rPr>
          <w:rFonts w:ascii="Times New Roman" w:hAnsi="Times New Roman" w:cs="Times New Roman"/>
          <w:color w:val="000000"/>
          <w:sz w:val="28"/>
          <w:szCs w:val="24"/>
        </w:rPr>
        <w:t>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4-9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10-12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13-15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25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4-9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10-15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346" w:right="4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4-9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10-15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26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4-9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10-15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10-12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13-15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</w:p>
    <w:p w:rsidR="00000000" w:rsidRDefault="00A50A68">
      <w:pPr>
        <w:widowControl w:val="0"/>
        <w:tabs>
          <w:tab w:val="left" w:pos="3718"/>
          <w:tab w:val="left" w:pos="382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3-6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</w:p>
    <w:p w:rsidR="00000000" w:rsidRDefault="00A50A6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27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5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4-9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10-12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</w:t>
      </w:r>
      <w:r>
        <w:rPr>
          <w:rFonts w:ascii="Times New Roman" w:hAnsi="Times New Roman" w:cs="Times New Roman"/>
          <w:color w:val="000000"/>
          <w:sz w:val="28"/>
          <w:szCs w:val="24"/>
        </w:rPr>
        <w:t>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828" w:right="3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</w:t>
      </w:r>
      <w:r>
        <w:rPr>
          <w:rFonts w:ascii="Times New Roman" w:hAnsi="Times New Roman" w:cs="Times New Roman"/>
          <w:color w:val="000000"/>
          <w:sz w:val="28"/>
          <w:szCs w:val="24"/>
        </w:rPr>
        <w:t>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732" w:right="4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28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84" w:right="-13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принятию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tabs>
          <w:tab w:val="left" w:pos="5998"/>
          <w:tab w:val="left" w:pos="6075"/>
        </w:tabs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отслеживания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29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13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339" w:right="4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4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</w:t>
      </w:r>
      <w:r>
        <w:rPr>
          <w:rFonts w:ascii="Times New Roman" w:hAnsi="Times New Roman" w:cs="Times New Roman"/>
          <w:color w:val="000000"/>
          <w:sz w:val="28"/>
          <w:szCs w:val="24"/>
        </w:rPr>
        <w:t>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50A68">
      <w:pPr>
        <w:widowControl w:val="0"/>
        <w:autoSpaceDE w:val="0"/>
        <w:autoSpaceDN w:val="0"/>
        <w:adjustRightInd w:val="0"/>
        <w:spacing w:before="21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30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before="270" w:after="0" w:line="330" w:lineRule="exact"/>
        <w:ind w:left="4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Отела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31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A50A6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</w:p>
    <w:p w:rsidR="00000000" w:rsidRDefault="00A50A68">
      <w:pPr>
        <w:widowControl w:val="0"/>
        <w:tabs>
          <w:tab w:val="left" w:pos="310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http://www.gosuslugi.ru/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;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>http://64.gosuslugi.ru/pgu/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>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32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5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7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>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</w:t>
      </w:r>
      <w:r>
        <w:rPr>
          <w:rFonts w:ascii="Times New Roman" w:hAnsi="Times New Roman" w:cs="Times New Roman"/>
          <w:color w:val="000000"/>
          <w:sz w:val="28"/>
          <w:szCs w:val="24"/>
        </w:rPr>
        <w:t>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1114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5.11.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5.12.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33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40" w:lineRule="exact"/>
        <w:ind w:left="262"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5.15.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11.2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</w:t>
      </w:r>
      <w:r>
        <w:rPr>
          <w:rFonts w:ascii="Times New Roman" w:hAnsi="Times New Roman" w:cs="Times New Roman"/>
          <w:color w:val="000000"/>
          <w:sz w:val="28"/>
          <w:szCs w:val="24"/>
        </w:rPr>
        <w:t>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5.63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34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35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498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exact"/>
        <w:ind w:left="4727" w:right="-30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Cs w:val="24"/>
        </w:rPr>
        <w:t>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6" w:right="509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tabs>
          <w:tab w:val="left" w:pos="2434"/>
        </w:tabs>
        <w:autoSpaceDE w:val="0"/>
        <w:autoSpaceDN w:val="0"/>
        <w:adjustRightInd w:val="0"/>
        <w:spacing w:after="0" w:line="225" w:lineRule="exact"/>
        <w:ind w:left="31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exact"/>
        <w:ind w:left="220" w:right="-14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tabs>
          <w:tab w:val="left" w:pos="1807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tabs>
          <w:tab w:val="left" w:pos="2656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115" w:after="0" w:line="225" w:lineRule="exact"/>
        <w:ind w:left="2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num="3" w:space="720" w:equalWidth="0">
            <w:col w:w="2444" w:space="1885"/>
            <w:col w:w="5532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19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7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39.11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35" w:after="0" w:line="285" w:lineRule="exact"/>
        <w:ind w:left="3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space="720" w:equalWidth="0">
            <w:col w:w="9958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num="3" w:space="720" w:equalWidth="0">
            <w:col w:w="1392" w:space="2619"/>
            <w:col w:w="2098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4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35" w:after="0" w:line="285" w:lineRule="exact"/>
        <w:ind w:left="3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36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space="720" w:equalWidth="0">
            <w:col w:w="9958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24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75" w:after="0" w:line="200" w:lineRule="exact"/>
        <w:ind w:left="370" w:right="-7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07" w:lineRule="exact"/>
        <w:ind w:left="370" w:right="-11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</w:t>
      </w:r>
      <w:r>
        <w:rPr>
          <w:rFonts w:ascii="Times New Roman" w:hAnsi="Times New Roman" w:cs="Times New Roman"/>
          <w:color w:val="000000"/>
          <w:sz w:val="18"/>
          <w:szCs w:val="24"/>
        </w:rPr>
        <w:t>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из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</w:t>
      </w:r>
      <w:r>
        <w:rPr>
          <w:rFonts w:ascii="Times New Roman" w:hAnsi="Times New Roman" w:cs="Times New Roman"/>
          <w:color w:val="000000"/>
          <w:sz w:val="18"/>
          <w:szCs w:val="24"/>
        </w:rPr>
        <w:t>ателе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являющемся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00" w:lineRule="exact"/>
        <w:ind w:left="370" w:right="-7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Подготовленная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20" w:lineRule="exact"/>
        <w:ind w:left="370" w:right="-8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правоустанавливающих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правоудостоверяющих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сходный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если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зарегистрированы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8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1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left="14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2873" w:space="4797"/>
            <w:col w:w="710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7" w:space="720" w:equalWidth="0">
            <w:col w:w="2782" w:space="709"/>
            <w:col w:w="45" w:space="2552"/>
            <w:col w:w="45" w:space="1081"/>
            <w:col w:w="326" w:space="1073"/>
            <w:col w:w="45" w:space="1083"/>
            <w:col w:w="9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50A68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ind w:left="38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50A6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37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8" w:space="720" w:equalWidth="0">
            <w:col w:w="1341" w:space="615"/>
            <w:col w:w="45" w:space="594"/>
            <w:col w:w="2407" w:space="749"/>
            <w:col w:w="710" w:space="752"/>
            <w:col w:w="326" w:space="781"/>
            <w:col w:w="623" w:space="735"/>
            <w:col w:w="274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60" w:lineRule="exact"/>
        <w:ind w:left="4727" w:right="-30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2" w:right="509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tabs>
          <w:tab w:val="left" w:pos="2434"/>
        </w:tabs>
        <w:autoSpaceDE w:val="0"/>
        <w:autoSpaceDN w:val="0"/>
        <w:adjustRightInd w:val="0"/>
        <w:spacing w:after="0" w:line="225" w:lineRule="exact"/>
        <w:ind w:left="31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exact"/>
        <w:ind w:left="739" w:right="-14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7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71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1040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919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125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1023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6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25" w:lineRule="exact"/>
        <w:ind w:left="7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tabs>
          <w:tab w:val="left" w:pos="3175"/>
        </w:tabs>
        <w:autoSpaceDE w:val="0"/>
        <w:autoSpaceDN w:val="0"/>
        <w:adjustRightInd w:val="0"/>
        <w:spacing w:after="0" w:line="225" w:lineRule="exact"/>
        <w:ind w:left="7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tabs>
          <w:tab w:val="left" w:pos="3316"/>
        </w:tabs>
        <w:autoSpaceDE w:val="0"/>
        <w:autoSpaceDN w:val="0"/>
        <w:adjustRightInd w:val="0"/>
        <w:spacing w:before="115" w:after="0" w:line="225" w:lineRule="exact"/>
        <w:ind w:left="74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аукциона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num="3" w:space="720" w:equalWidth="0">
            <w:col w:w="2444" w:space="1366"/>
            <w:col w:w="6050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7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39.11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left="228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/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срока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)) </w:t>
      </w:r>
    </w:p>
    <w:p w:rsidR="00000000" w:rsidRDefault="00A50A68">
      <w:pPr>
        <w:widowControl w:val="0"/>
        <w:autoSpaceDE w:val="0"/>
        <w:autoSpaceDN w:val="0"/>
        <w:adjustRightInd w:val="0"/>
        <w:spacing w:before="175"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space="720" w:equalWidth="0">
            <w:col w:w="9958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num="3" w:space="720" w:equalWidth="0">
            <w:col w:w="1392" w:space="2619"/>
            <w:col w:w="2098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4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35" w:after="0" w:line="285" w:lineRule="exact"/>
        <w:ind w:left="3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38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space="720" w:equalWidth="0">
            <w:col w:w="9958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24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95" w:after="0" w:line="200" w:lineRule="exact"/>
        <w:ind w:left="370" w:right="-7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>редставителя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50A6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07" w:lineRule="exact"/>
        <w:ind w:left="370" w:right="-12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</w:t>
      </w:r>
      <w:r>
        <w:rPr>
          <w:rFonts w:ascii="Times New Roman" w:hAnsi="Times New Roman" w:cs="Times New Roman"/>
          <w:color w:val="000000"/>
          <w:sz w:val="1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из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являющемся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8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45" w:right="514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left="14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3" w:space="720" w:equalWidth="0">
            <w:col w:w="2873" w:space="4797"/>
            <w:col w:w="710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7" w:space="720" w:equalWidth="0">
            <w:col w:w="2782" w:space="709"/>
            <w:col w:w="45" w:space="2552"/>
            <w:col w:w="45" w:space="1081"/>
            <w:col w:w="326" w:space="1073"/>
            <w:col w:w="45" w:space="1083"/>
            <w:col w:w="9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50A6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25" w:lineRule="exact"/>
        <w:ind w:left="38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50A6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39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4" w:bottom="720" w:left="1440" w:header="720" w:footer="720" w:gutter="0"/>
          <w:cols w:num="8" w:space="720" w:equalWidth="0">
            <w:col w:w="1341" w:space="615"/>
            <w:col w:w="45" w:space="594"/>
            <w:col w:w="2407" w:space="749"/>
            <w:col w:w="710" w:space="752"/>
            <w:col w:w="326" w:space="781"/>
            <w:col w:w="623" w:space="735"/>
            <w:col w:w="274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25" w:lineRule="exact"/>
        <w:ind w:left="49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65"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39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50" w:lineRule="exact"/>
        <w:ind w:left="3949" w:right="-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Ф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личность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место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номер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телефона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55" w:lineRule="exact"/>
        <w:ind w:left="39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Cs w:val="24"/>
        </w:rPr>
        <w:t>-</w:t>
      </w:r>
    </w:p>
    <w:p w:rsidR="00000000" w:rsidRDefault="00A50A68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315" w:lineRule="exact"/>
        <w:ind w:left="394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правовая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номер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before="290" w:after="0" w:line="320" w:lineRule="exact"/>
        <w:ind w:left="788" w:right="48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262" w:right="395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________________ 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40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33" w:right="496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55" w:lineRule="exact"/>
        <w:ind w:left="467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4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50" w:after="0" w:line="330" w:lineRule="exact"/>
        <w:ind w:left="40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4" w:lineRule="exact"/>
        <w:ind w:left="380" w:right="7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50A68">
      <w:pPr>
        <w:widowControl w:val="0"/>
        <w:autoSpaceDE w:val="0"/>
        <w:autoSpaceDN w:val="0"/>
        <w:adjustRightInd w:val="0"/>
        <w:spacing w:before="195" w:after="0" w:line="285" w:lineRule="exact"/>
        <w:ind w:left="1426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19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6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0" w:lineRule="exact"/>
        <w:ind w:left="329" w:right="26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84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2" w:right="497" w:bottom="660" w:left="1440" w:header="0" w:footer="0" w:gutter="0"/>
          <w:cols w:space="720"/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9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320" w:lineRule="exact"/>
        <w:ind w:left="-41" w:right="-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7" w:bottom="720" w:left="1440" w:header="720" w:footer="720" w:gutter="0"/>
          <w:cols w:num="3" w:space="720" w:equalWidth="0">
            <w:col w:w="6679" w:space="1515"/>
            <w:col w:w="1674" w:space="0"/>
            <w:col w:w="-1"/>
          </w:cols>
          <w:noEndnote/>
        </w:sectPr>
      </w:pPr>
    </w:p>
    <w:p w:rsidR="00000000" w:rsidRDefault="00A50A68">
      <w:pPr>
        <w:widowControl w:val="0"/>
        <w:autoSpaceDE w:val="0"/>
        <w:autoSpaceDN w:val="0"/>
        <w:adjustRightInd w:val="0"/>
        <w:spacing w:after="0" w:line="560" w:lineRule="exact"/>
        <w:ind w:left="351" w:right="1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235" w:after="0" w:line="600" w:lineRule="exact"/>
        <w:ind w:left="699" w:right="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before="195" w:after="0" w:line="500" w:lineRule="exact"/>
        <w:ind w:left="2406" w:right="19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85" w:lineRule="exact"/>
        <w:ind w:left="33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41 </w:t>
      </w:r>
    </w:p>
    <w:p w:rsidR="00000000" w:rsidRDefault="00A5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7" w:bottom="720" w:left="144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99"/>
    <w:multiLevelType w:val="hybridMultilevel"/>
    <w:tmpl w:val="00003E29"/>
    <w:lvl w:ilvl="0" w:tplc="00001691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B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5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EC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8DC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112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807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EF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21E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9EC"/>
    <w:multiLevelType w:val="hybridMultilevel"/>
    <w:tmpl w:val="00001E91"/>
    <w:lvl w:ilvl="0" w:tplc="0000076B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F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3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F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F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A45"/>
    <w:multiLevelType w:val="hybridMultilevel"/>
    <w:tmpl w:val="00000F5E"/>
    <w:lvl w:ilvl="0" w:tplc="00001C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E80"/>
    <w:multiLevelType w:val="hybridMultilevel"/>
    <w:tmpl w:val="0001008F"/>
    <w:lvl w:ilvl="0" w:tplc="000015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E99"/>
    <w:multiLevelType w:val="hybridMultilevel"/>
    <w:tmpl w:val="0000C9D9"/>
    <w:lvl w:ilvl="0" w:tplc="000001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6C1"/>
    <w:multiLevelType w:val="hybridMultilevel"/>
    <w:tmpl w:val="00003A0F"/>
    <w:lvl w:ilvl="0" w:tplc="000003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BEA"/>
    <w:multiLevelType w:val="hybridMultilevel"/>
    <w:tmpl w:val="00004F3A"/>
    <w:lvl w:ilvl="0" w:tplc="00001C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CBF"/>
    <w:multiLevelType w:val="hybridMultilevel"/>
    <w:tmpl w:val="000002ED"/>
    <w:lvl w:ilvl="0" w:tplc="00000A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457"/>
    <w:multiLevelType w:val="hybridMultilevel"/>
    <w:tmpl w:val="000102F1"/>
    <w:lvl w:ilvl="0" w:tplc="00000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D13"/>
    <w:multiLevelType w:val="hybridMultilevel"/>
    <w:tmpl w:val="00016482"/>
    <w:lvl w:ilvl="0" w:tplc="000007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5DE"/>
    <w:multiLevelType w:val="hybridMultilevel"/>
    <w:tmpl w:val="000081FD"/>
    <w:lvl w:ilvl="0" w:tplc="000006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756"/>
    <w:multiLevelType w:val="hybridMultilevel"/>
    <w:tmpl w:val="0000B6FF"/>
    <w:lvl w:ilvl="0" w:tplc="000026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9DA"/>
    <w:multiLevelType w:val="hybridMultilevel"/>
    <w:tmpl w:val="0000709A"/>
    <w:lvl w:ilvl="0" w:tplc="000004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A05"/>
    <w:multiLevelType w:val="hybridMultilevel"/>
    <w:tmpl w:val="0000CE6B"/>
    <w:lvl w:ilvl="0" w:tplc="00001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D69"/>
    <w:multiLevelType w:val="hybridMultilevel"/>
    <w:tmpl w:val="00000133"/>
    <w:lvl w:ilvl="0" w:tplc="000012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850"/>
    <w:multiLevelType w:val="hybridMultilevel"/>
    <w:tmpl w:val="000073ED"/>
    <w:lvl w:ilvl="0" w:tplc="00000A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90F"/>
    <w:multiLevelType w:val="hybridMultilevel"/>
    <w:tmpl w:val="00011082"/>
    <w:lvl w:ilvl="0" w:tplc="00001D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F84"/>
    <w:multiLevelType w:val="hybridMultilevel"/>
    <w:tmpl w:val="0000D1CA"/>
    <w:lvl w:ilvl="0" w:tplc="00001DE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E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0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638A"/>
    <w:multiLevelType w:val="hybridMultilevel"/>
    <w:tmpl w:val="00003D86"/>
    <w:lvl w:ilvl="0" w:tplc="00001A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E5B"/>
    <w:multiLevelType w:val="hybridMultilevel"/>
    <w:tmpl w:val="000177AE"/>
    <w:lvl w:ilvl="0" w:tplc="00001B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9A3"/>
    <w:multiLevelType w:val="hybridMultilevel"/>
    <w:tmpl w:val="0000710B"/>
    <w:lvl w:ilvl="0" w:tplc="000023D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2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E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6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8938"/>
    <w:multiLevelType w:val="hybridMultilevel"/>
    <w:tmpl w:val="000174C8"/>
    <w:lvl w:ilvl="0" w:tplc="00000D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8BF2"/>
    <w:multiLevelType w:val="hybridMultilevel"/>
    <w:tmpl w:val="0000DDD6"/>
    <w:lvl w:ilvl="0" w:tplc="000015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DBE"/>
    <w:multiLevelType w:val="hybridMultilevel"/>
    <w:tmpl w:val="0000560E"/>
    <w:lvl w:ilvl="0" w:tplc="000002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93DF"/>
    <w:multiLevelType w:val="hybridMultilevel"/>
    <w:tmpl w:val="0001696D"/>
    <w:lvl w:ilvl="0" w:tplc="00001C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9DB7"/>
    <w:multiLevelType w:val="hybridMultilevel"/>
    <w:tmpl w:val="00010674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F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B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A4B7"/>
    <w:multiLevelType w:val="hybridMultilevel"/>
    <w:tmpl w:val="00002435"/>
    <w:lvl w:ilvl="0" w:tplc="000023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7DF"/>
    <w:multiLevelType w:val="hybridMultilevel"/>
    <w:tmpl w:val="00011B55"/>
    <w:lvl w:ilvl="0" w:tplc="00000C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E1E"/>
    <w:multiLevelType w:val="hybridMultilevel"/>
    <w:tmpl w:val="00016247"/>
    <w:lvl w:ilvl="0" w:tplc="00002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B5BB"/>
    <w:multiLevelType w:val="hybridMultilevel"/>
    <w:tmpl w:val="0000CD0E"/>
    <w:lvl w:ilvl="0" w:tplc="00001F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8B6"/>
    <w:multiLevelType w:val="hybridMultilevel"/>
    <w:tmpl w:val="00007F13"/>
    <w:lvl w:ilvl="0" w:tplc="00001D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969"/>
    <w:multiLevelType w:val="hybridMultilevel"/>
    <w:tmpl w:val="00014C8D"/>
    <w:lvl w:ilvl="0" w:tplc="000015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BC56"/>
    <w:multiLevelType w:val="hybridMultilevel"/>
    <w:tmpl w:val="000086EB"/>
    <w:lvl w:ilvl="0" w:tplc="00001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0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A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B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C100"/>
    <w:multiLevelType w:val="hybridMultilevel"/>
    <w:tmpl w:val="0000F16F"/>
    <w:lvl w:ilvl="0" w:tplc="000024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1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9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C1C0"/>
    <w:multiLevelType w:val="hybridMultilevel"/>
    <w:tmpl w:val="0000E50E"/>
    <w:lvl w:ilvl="0" w:tplc="000005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C2C1"/>
    <w:multiLevelType w:val="hybridMultilevel"/>
    <w:tmpl w:val="0000C174"/>
    <w:lvl w:ilvl="0" w:tplc="00000F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C33D"/>
    <w:multiLevelType w:val="hybridMultilevel"/>
    <w:tmpl w:val="00008DF9"/>
    <w:lvl w:ilvl="0" w:tplc="00001D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C5A7"/>
    <w:multiLevelType w:val="hybridMultilevel"/>
    <w:tmpl w:val="0000F223"/>
    <w:lvl w:ilvl="0" w:tplc="000001A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D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8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C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D567"/>
    <w:multiLevelType w:val="hybridMultilevel"/>
    <w:tmpl w:val="0001625E"/>
    <w:lvl w:ilvl="0" w:tplc="0000078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E610"/>
    <w:multiLevelType w:val="hybridMultilevel"/>
    <w:tmpl w:val="00003398"/>
    <w:lvl w:ilvl="0" w:tplc="000020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EE67"/>
    <w:multiLevelType w:val="hybridMultilevel"/>
    <w:tmpl w:val="00007EAF"/>
    <w:lvl w:ilvl="0" w:tplc="000002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F2EC"/>
    <w:multiLevelType w:val="hybridMultilevel"/>
    <w:tmpl w:val="0000128B"/>
    <w:lvl w:ilvl="0" w:tplc="0000112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3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6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8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9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FB2E"/>
    <w:multiLevelType w:val="hybridMultilevel"/>
    <w:tmpl w:val="00009D8E"/>
    <w:lvl w:ilvl="0" w:tplc="00000D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FF73"/>
    <w:multiLevelType w:val="hybridMultilevel"/>
    <w:tmpl w:val="00009B07"/>
    <w:lvl w:ilvl="0" w:tplc="0000170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F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9F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C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A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11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BF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1E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052A"/>
    <w:multiLevelType w:val="hybridMultilevel"/>
    <w:tmpl w:val="00009D64"/>
    <w:lvl w:ilvl="0" w:tplc="000020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0804"/>
    <w:multiLevelType w:val="hybridMultilevel"/>
    <w:tmpl w:val="0000600A"/>
    <w:lvl w:ilvl="0" w:tplc="000001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0B73"/>
    <w:multiLevelType w:val="hybridMultilevel"/>
    <w:tmpl w:val="00006B15"/>
    <w:lvl w:ilvl="0" w:tplc="00001D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2779"/>
    <w:multiLevelType w:val="hybridMultilevel"/>
    <w:tmpl w:val="0000E5B7"/>
    <w:lvl w:ilvl="0" w:tplc="00001972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C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C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4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C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4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D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2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1EC"/>
    <w:multiLevelType w:val="hybridMultilevel"/>
    <w:tmpl w:val="0000DDF8"/>
    <w:lvl w:ilvl="0" w:tplc="000025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3560"/>
    <w:multiLevelType w:val="hybridMultilevel"/>
    <w:tmpl w:val="00016FB2"/>
    <w:lvl w:ilvl="0" w:tplc="000021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8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7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4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A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B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F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3665"/>
    <w:multiLevelType w:val="hybridMultilevel"/>
    <w:tmpl w:val="00000D6B"/>
    <w:lvl w:ilvl="0" w:tplc="00000A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36A9"/>
    <w:multiLevelType w:val="hybridMultilevel"/>
    <w:tmpl w:val="00013DAD"/>
    <w:lvl w:ilvl="0" w:tplc="000005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3D5C"/>
    <w:multiLevelType w:val="hybridMultilevel"/>
    <w:tmpl w:val="00012B0E"/>
    <w:lvl w:ilvl="0" w:tplc="00001F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41CD"/>
    <w:multiLevelType w:val="hybridMultilevel"/>
    <w:tmpl w:val="00006988"/>
    <w:lvl w:ilvl="0" w:tplc="000013D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44F2"/>
    <w:multiLevelType w:val="hybridMultilevel"/>
    <w:tmpl w:val="0000795E"/>
    <w:lvl w:ilvl="0" w:tplc="000020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51E"/>
    <w:multiLevelType w:val="hybridMultilevel"/>
    <w:tmpl w:val="0001761C"/>
    <w:lvl w:ilvl="0" w:tplc="00002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47EA"/>
    <w:multiLevelType w:val="hybridMultilevel"/>
    <w:tmpl w:val="00000E85"/>
    <w:lvl w:ilvl="0" w:tplc="00001B9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F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E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0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C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F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5C2E"/>
    <w:multiLevelType w:val="hybridMultilevel"/>
    <w:tmpl w:val="00006501"/>
    <w:lvl w:ilvl="0" w:tplc="000005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9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8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1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6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5EBB"/>
    <w:multiLevelType w:val="hybridMultilevel"/>
    <w:tmpl w:val="00015778"/>
    <w:lvl w:ilvl="0" w:tplc="000022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64E0"/>
    <w:multiLevelType w:val="hybridMultilevel"/>
    <w:tmpl w:val="00016147"/>
    <w:lvl w:ilvl="0" w:tplc="00000D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65C4"/>
    <w:multiLevelType w:val="hybridMultilevel"/>
    <w:tmpl w:val="000044BD"/>
    <w:lvl w:ilvl="0" w:tplc="00001A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6C80"/>
    <w:multiLevelType w:val="hybridMultilevel"/>
    <w:tmpl w:val="00006B73"/>
    <w:lvl w:ilvl="0" w:tplc="00000D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6FE9"/>
    <w:multiLevelType w:val="hybridMultilevel"/>
    <w:tmpl w:val="00005A08"/>
    <w:lvl w:ilvl="0" w:tplc="0000065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C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1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1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5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6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70E0"/>
    <w:multiLevelType w:val="hybridMultilevel"/>
    <w:tmpl w:val="00005D4A"/>
    <w:lvl w:ilvl="0" w:tplc="0000063B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972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C3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01B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54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E0A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D08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5C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C35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17B92"/>
    <w:multiLevelType w:val="hybridMultilevel"/>
    <w:tmpl w:val="000094E3"/>
    <w:lvl w:ilvl="0" w:tplc="000022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7EC6"/>
    <w:multiLevelType w:val="hybridMultilevel"/>
    <w:tmpl w:val="00009EE9"/>
    <w:lvl w:ilvl="0" w:tplc="000026B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8111"/>
    <w:multiLevelType w:val="hybridMultilevel"/>
    <w:tmpl w:val="000165B0"/>
    <w:lvl w:ilvl="0" w:tplc="00000A0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840A"/>
    <w:multiLevelType w:val="hybridMultilevel"/>
    <w:tmpl w:val="000181EF"/>
    <w:lvl w:ilvl="0" w:tplc="00001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5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D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9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18574"/>
    <w:multiLevelType w:val="hybridMultilevel"/>
    <w:tmpl w:val="0000C1D0"/>
    <w:lvl w:ilvl="0" w:tplc="00001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9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D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4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5"/>
  </w:num>
  <w:num w:numId="2">
    <w:abstractNumId w:val="57"/>
  </w:num>
  <w:num w:numId="3">
    <w:abstractNumId w:val="66"/>
  </w:num>
  <w:num w:numId="4">
    <w:abstractNumId w:val="0"/>
  </w:num>
  <w:num w:numId="5">
    <w:abstractNumId w:val="2"/>
  </w:num>
  <w:num w:numId="6">
    <w:abstractNumId w:val="67"/>
  </w:num>
  <w:num w:numId="7">
    <w:abstractNumId w:val="20"/>
  </w:num>
  <w:num w:numId="8">
    <w:abstractNumId w:val="62"/>
  </w:num>
  <w:num w:numId="9">
    <w:abstractNumId w:val="50"/>
  </w:num>
  <w:num w:numId="10">
    <w:abstractNumId w:val="14"/>
  </w:num>
  <w:num w:numId="11">
    <w:abstractNumId w:val="29"/>
  </w:num>
  <w:num w:numId="12">
    <w:abstractNumId w:val="54"/>
  </w:num>
  <w:num w:numId="13">
    <w:abstractNumId w:val="21"/>
  </w:num>
  <w:num w:numId="14">
    <w:abstractNumId w:val="17"/>
  </w:num>
  <w:num w:numId="15">
    <w:abstractNumId w:val="43"/>
  </w:num>
  <w:num w:numId="16">
    <w:abstractNumId w:val="35"/>
  </w:num>
  <w:num w:numId="17">
    <w:abstractNumId w:val="3"/>
  </w:num>
  <w:num w:numId="18">
    <w:abstractNumId w:val="61"/>
  </w:num>
  <w:num w:numId="19">
    <w:abstractNumId w:val="13"/>
  </w:num>
  <w:num w:numId="20">
    <w:abstractNumId w:val="22"/>
  </w:num>
  <w:num w:numId="21">
    <w:abstractNumId w:val="60"/>
  </w:num>
  <w:num w:numId="22">
    <w:abstractNumId w:val="19"/>
  </w:num>
  <w:num w:numId="23">
    <w:abstractNumId w:val="11"/>
  </w:num>
  <w:num w:numId="24">
    <w:abstractNumId w:val="30"/>
  </w:num>
  <w:num w:numId="25">
    <w:abstractNumId w:val="40"/>
  </w:num>
  <w:num w:numId="26">
    <w:abstractNumId w:val="55"/>
  </w:num>
  <w:num w:numId="27">
    <w:abstractNumId w:val="51"/>
  </w:num>
  <w:num w:numId="28">
    <w:abstractNumId w:val="39"/>
  </w:num>
  <w:num w:numId="29">
    <w:abstractNumId w:val="4"/>
  </w:num>
  <w:num w:numId="30">
    <w:abstractNumId w:val="10"/>
  </w:num>
  <w:num w:numId="31">
    <w:abstractNumId w:val="41"/>
  </w:num>
  <w:num w:numId="32">
    <w:abstractNumId w:val="31"/>
  </w:num>
  <w:num w:numId="33">
    <w:abstractNumId w:val="16"/>
  </w:num>
  <w:num w:numId="34">
    <w:abstractNumId w:val="53"/>
  </w:num>
  <w:num w:numId="35">
    <w:abstractNumId w:val="48"/>
  </w:num>
  <w:num w:numId="36">
    <w:abstractNumId w:val="68"/>
  </w:num>
  <w:num w:numId="37">
    <w:abstractNumId w:val="37"/>
  </w:num>
  <w:num w:numId="38">
    <w:abstractNumId w:val="7"/>
  </w:num>
  <w:num w:numId="39">
    <w:abstractNumId w:val="5"/>
  </w:num>
  <w:num w:numId="40">
    <w:abstractNumId w:val="32"/>
  </w:num>
  <w:num w:numId="41">
    <w:abstractNumId w:val="49"/>
  </w:num>
  <w:num w:numId="42">
    <w:abstractNumId w:val="9"/>
  </w:num>
  <w:num w:numId="43">
    <w:abstractNumId w:val="36"/>
  </w:num>
  <w:num w:numId="44">
    <w:abstractNumId w:val="44"/>
  </w:num>
  <w:num w:numId="45">
    <w:abstractNumId w:val="64"/>
  </w:num>
  <w:num w:numId="46">
    <w:abstractNumId w:val="27"/>
  </w:num>
  <w:num w:numId="47">
    <w:abstractNumId w:val="28"/>
  </w:num>
  <w:num w:numId="48">
    <w:abstractNumId w:val="45"/>
  </w:num>
  <w:num w:numId="49">
    <w:abstractNumId w:val="58"/>
  </w:num>
  <w:num w:numId="50">
    <w:abstractNumId w:val="46"/>
  </w:num>
  <w:num w:numId="51">
    <w:abstractNumId w:val="12"/>
  </w:num>
  <w:num w:numId="52">
    <w:abstractNumId w:val="15"/>
  </w:num>
  <w:num w:numId="53">
    <w:abstractNumId w:val="24"/>
  </w:num>
  <w:num w:numId="54">
    <w:abstractNumId w:val="63"/>
  </w:num>
  <w:num w:numId="55">
    <w:abstractNumId w:val="42"/>
  </w:num>
  <w:num w:numId="56">
    <w:abstractNumId w:val="26"/>
  </w:num>
  <w:num w:numId="57">
    <w:abstractNumId w:val="18"/>
  </w:num>
  <w:num w:numId="58">
    <w:abstractNumId w:val="52"/>
  </w:num>
  <w:num w:numId="59">
    <w:abstractNumId w:val="8"/>
  </w:num>
  <w:num w:numId="60">
    <w:abstractNumId w:val="23"/>
  </w:num>
  <w:num w:numId="61">
    <w:abstractNumId w:val="59"/>
  </w:num>
  <w:num w:numId="62">
    <w:abstractNumId w:val="6"/>
  </w:num>
  <w:num w:numId="63">
    <w:abstractNumId w:val="33"/>
  </w:num>
  <w:num w:numId="64">
    <w:abstractNumId w:val="65"/>
  </w:num>
  <w:num w:numId="65">
    <w:abstractNumId w:val="47"/>
  </w:num>
  <w:num w:numId="66">
    <w:abstractNumId w:val="34"/>
  </w:num>
  <w:num w:numId="67">
    <w:abstractNumId w:val="56"/>
  </w:num>
  <w:num w:numId="68">
    <w:abstractNumId w:val="38"/>
  </w:num>
  <w:num w:numId="69">
    <w:abstractNumId w:val="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50A68"/>
    <w:rsid w:val="00A5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13541</Words>
  <Characters>77185</Characters>
  <Application>Microsoft Office Word</Application>
  <DocSecurity>4</DocSecurity>
  <Lines>643</Lines>
  <Paragraphs>181</Paragraphs>
  <ScaleCrop>false</ScaleCrop>
  <Company/>
  <LinksUpToDate>false</LinksUpToDate>
  <CharactersWithSpaces>90545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2016-03-28T13:33:00Z</dcterms:created>
  <dcterms:modified xsi:type="dcterms:W3CDTF">2016-03-28T13:33:00Z</dcterms:modified>
</cp:coreProperties>
</file>