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-835660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E62A6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E62A6">
      <w:pPr>
        <w:widowControl w:val="0"/>
        <w:tabs>
          <w:tab w:val="left" w:pos="7146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before="20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31.12.2015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1035 </w:t>
      </w:r>
    </w:p>
    <w:p w:rsidR="00000000" w:rsidRDefault="008E62A6">
      <w:pPr>
        <w:widowControl w:val="0"/>
        <w:autoSpaceDE w:val="0"/>
        <w:autoSpaceDN w:val="0"/>
        <w:adjustRightInd w:val="0"/>
        <w:spacing w:before="19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65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1786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6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E62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70" w:right="495" w:bottom="660" w:left="1419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56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620" w:right="10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0" w:lineRule="exact"/>
        <w:ind w:left="5620" w:right="13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56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1786                                                                                       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460" w:lineRule="exact"/>
        <w:ind w:left="104" w:right="3169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2014-2016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»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55" w:lineRule="exact"/>
        <w:ind w:left="43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68" w:right="13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left="2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left="794"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5" w:right="720" w:bottom="660" w:left="1419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303" w:space="796"/>
            <w:col w:w="4001" w:space="541"/>
            <w:col w:w="1672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78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160" w:space="939"/>
            <w:col w:w="6269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before="235" w:after="0" w:line="260" w:lineRule="exact"/>
        <w:ind w:right="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35"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6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01" w:space="98"/>
            <w:col w:w="6215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73" w:lineRule="exact"/>
        <w:ind w:left="3099" w:righ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6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3099"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9,7%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113; 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-124),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84,6%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13,  2015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 24).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85,4%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91,3%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89,5%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-2,  (-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50,0%).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 (-100,0%),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-3,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3,9%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49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-51),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2,6% -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38,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250,0%.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25,0% - 3(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4).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83,3%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68,4%),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100,0%).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66,7%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2,  +  150,0%)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37,0%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27,5 2015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-17)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31" w:left="1419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left="3078" w:righ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-16)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left="3078" w:right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40,0% - 3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3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(+76,0%),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(+27,8%;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46).  </w:t>
      </w:r>
    </w:p>
    <w:p w:rsidR="00000000" w:rsidRDefault="008E62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3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3325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3234, +2,8%),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1992  (2014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-1912,  +4,2%.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44,6%.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E6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7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8E62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3078" w:right="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отрицате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6" w:lineRule="exact"/>
        <w:ind w:left="3078" w:right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07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8" w:lineRule="exact"/>
        <w:ind w:left="3078" w:right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3" w:lineRule="exact"/>
        <w:ind w:left="3078" w:right="4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3" w:lineRule="exact"/>
        <w:ind w:left="3078" w:right="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left="3078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41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73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(2015-2016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tabs>
          <w:tab w:val="left" w:pos="313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6" w:lineRule="exact"/>
        <w:ind w:left="3099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8" w:lineRule="exact"/>
        <w:ind w:left="3099" w:right="36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60" w:left="1419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217,948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137,948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37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 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41" w:space="158"/>
            <w:col w:w="6214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9" w:right="354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00000" w:rsidRDefault="008E62A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2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0" w:lineRule="exact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4" w:bottom="720" w:left="1419" w:header="720" w:footer="720" w:gutter="0"/>
          <w:cols w:num="3" w:space="720" w:equalWidth="0">
            <w:col w:w="2941" w:space="158"/>
            <w:col w:w="6215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138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left="29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1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5" w:lineRule="exact"/>
        <w:ind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9,7%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113;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-124),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84,6%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13, 2015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.- 24).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85,4%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91,3%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89,5%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убийство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-2,  (-50,0%).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Зафиксировано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(33,3%),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-0 (-100,0%),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-3,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ПТВЗ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100,5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7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3,9%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-51),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2,6%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38,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250,0%.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25,0% - 3(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4" w:bottom="720" w:left="1419" w:header="720" w:footer="720" w:gutter="0"/>
          <w:cols w:space="720" w:equalWidth="0">
            <w:col w:w="10133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83,3%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68,4%),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</w:t>
      </w:r>
      <w:r>
        <w:rPr>
          <w:rFonts w:ascii="Times New Roman" w:hAnsi="Times New Roman" w:cs="Times New Roman"/>
          <w:color w:val="000000"/>
          <w:sz w:val="28"/>
          <w:szCs w:val="24"/>
        </w:rPr>
        <w:t>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66,7%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222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</w:t>
      </w:r>
      <w:r>
        <w:rPr>
          <w:rFonts w:ascii="Times New Roman" w:hAnsi="Times New Roman" w:cs="Times New Roman"/>
          <w:color w:val="000000"/>
          <w:sz w:val="28"/>
          <w:szCs w:val="24"/>
        </w:rPr>
        <w:t>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+ 150,0%)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37,0%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27,5 2015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-17)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11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-16)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40,0% - 3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-5).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(+76,0%),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(+27,8%;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46).  </w:t>
      </w:r>
    </w:p>
    <w:p w:rsidR="00000000" w:rsidRDefault="008E62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3325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3234, +2,8%),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1992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</w:t>
      </w:r>
    </w:p>
    <w:p w:rsidR="00000000" w:rsidRDefault="008E62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+4,2%.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44,6%.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62A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раскрытию</w:t>
      </w:r>
    </w:p>
    <w:p w:rsidR="00000000" w:rsidRDefault="008E62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</w:t>
      </w:r>
      <w:r>
        <w:rPr>
          <w:rFonts w:ascii="Times New Roman" w:hAnsi="Times New Roman" w:cs="Times New Roman"/>
          <w:color w:val="000000"/>
          <w:sz w:val="28"/>
          <w:szCs w:val="24"/>
        </w:rPr>
        <w:t>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60" w:left="1419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</w:t>
      </w:r>
      <w:r>
        <w:rPr>
          <w:rFonts w:ascii="Times New Roman" w:hAnsi="Times New Roman" w:cs="Times New Roman"/>
          <w:color w:val="000000"/>
          <w:sz w:val="28"/>
          <w:szCs w:val="24"/>
        </w:rPr>
        <w:t>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90" w:after="0" w:line="330" w:lineRule="exact"/>
        <w:ind w:left="10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29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217,948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137,948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5" w:bottom="660" w:left="1419" w:header="0" w:footer="0" w:gutter="0"/>
          <w:cols w:space="720"/>
          <w:noEndnote/>
        </w:sectPr>
      </w:pPr>
    </w:p>
    <w:p w:rsidR="00000000" w:rsidRDefault="008E62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1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left="4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E62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85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</w:t>
      </w:r>
      <w:r>
        <w:rPr>
          <w:rFonts w:ascii="Times New Roman" w:hAnsi="Times New Roman" w:cs="Times New Roman"/>
          <w:color w:val="000000"/>
          <w:sz w:val="28"/>
          <w:szCs w:val="24"/>
        </w:rPr>
        <w:t>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E62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70" w:after="0" w:line="330" w:lineRule="exact"/>
        <w:ind w:left="11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30" w:lineRule="exact"/>
        <w:ind w:left="32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8E62A6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E62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</w:t>
      </w:r>
      <w:r>
        <w:rPr>
          <w:rFonts w:ascii="Times New Roman" w:hAnsi="Times New Roman" w:cs="Times New Roman"/>
          <w:color w:val="000000"/>
          <w:sz w:val="28"/>
          <w:szCs w:val="24"/>
        </w:rPr>
        <w:t>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</w:p>
    <w:p w:rsidR="00000000" w:rsidRDefault="008E62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ершаемых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E62A6">
      <w:pPr>
        <w:widowControl w:val="0"/>
        <w:numPr>
          <w:ilvl w:val="0"/>
          <w:numId w:val="26"/>
        </w:numPr>
        <w:tabs>
          <w:tab w:val="left" w:pos="9258"/>
        </w:tabs>
        <w:autoSpaceDE w:val="0"/>
        <w:autoSpaceDN w:val="0"/>
        <w:adjustRightInd w:val="0"/>
        <w:spacing w:after="0" w:line="315" w:lineRule="exact"/>
        <w:ind w:left="706" w:right="-3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8" w:right="432" w:bottom="612" w:left="1419" w:header="0" w:footer="0" w:gutter="0"/>
          <w:cols w:space="720"/>
          <w:noEndnote/>
        </w:sectPr>
      </w:pPr>
    </w:p>
    <w:p w:rsidR="00000000" w:rsidRDefault="008E62A6">
      <w:pPr>
        <w:widowControl w:val="0"/>
        <w:tabs>
          <w:tab w:val="left" w:pos="991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1" w:lineRule="exact"/>
        <w:ind w:left="11786"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2" w:lineRule="exact"/>
        <w:ind w:left="11786"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786"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7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2" w:lineRule="exact"/>
        <w:ind w:left="11786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720" w:bottom="660" w:left="852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left="11198" w:right="-16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-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1" w:lineRule="exact"/>
        <w:ind w:left="11198" w:right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640" w:lineRule="exact"/>
        <w:ind w:left="11198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8" w:right="720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-16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-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8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20" w:lineRule="exact"/>
        <w:ind w:left="11198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2 0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0" w:lineRule="exact"/>
        <w:ind w:left="11198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 0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111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3" w:lineRule="exact"/>
        <w:ind w:left="11198" w:right="-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8" w:right="720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75" w:lineRule="exact"/>
        <w:ind w:left="11198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315" w:lineRule="exact"/>
        <w:ind w:left="270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5" w:after="0" w:line="315" w:lineRule="exact"/>
        <w:ind w:left="128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8E62A6">
      <w:pPr>
        <w:widowControl w:val="0"/>
        <w:tabs>
          <w:tab w:val="left" w:pos="6181"/>
        </w:tabs>
        <w:autoSpaceDE w:val="0"/>
        <w:autoSpaceDN w:val="0"/>
        <w:adjustRightInd w:val="0"/>
        <w:spacing w:before="25" w:after="0" w:line="315" w:lineRule="exact"/>
        <w:ind w:left="128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E62A6">
      <w:pPr>
        <w:widowControl w:val="0"/>
        <w:tabs>
          <w:tab w:val="left" w:pos="7650"/>
        </w:tabs>
        <w:autoSpaceDE w:val="0"/>
        <w:autoSpaceDN w:val="0"/>
        <w:adjustRightInd w:val="0"/>
        <w:spacing w:before="25" w:after="0" w:line="315" w:lineRule="exact"/>
        <w:ind w:left="228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8" w:right="3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55" w:lineRule="exact"/>
        <w:ind w:left="3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313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303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2014-1016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4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" w:bottom="720" w:left="1440" w:header="720" w:footer="720" w:gutter="0"/>
          <w:cols w:num="5" w:space="720" w:equalWidth="0">
            <w:col w:w="350" w:space="658"/>
            <w:col w:w="4347" w:space="2682"/>
            <w:col w:w="4951" w:space="646"/>
            <w:col w:w="928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30" w:lineRule="exact"/>
        <w:ind w:left="608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" w:bottom="720" w:left="1440" w:header="720" w:footer="720" w:gutter="0"/>
          <w:cols w:num="6" w:space="720" w:equalWidth="0">
            <w:col w:w="7884" w:space="312"/>
            <w:col w:w="422" w:space="562"/>
            <w:col w:w="446" w:space="843"/>
            <w:col w:w="439" w:space="2149"/>
            <w:col w:w="50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" w:bottom="720" w:left="1440" w:header="720" w:footer="720" w:gutter="0"/>
          <w:cols w:num="9" w:space="720" w:equalWidth="0">
            <w:col w:w="521" w:space="1433"/>
            <w:col w:w="151" w:space="2553"/>
            <w:col w:w="151" w:space="1640"/>
            <w:col w:w="151" w:space="1792"/>
            <w:col w:w="151" w:space="841"/>
            <w:col w:w="151" w:space="1177"/>
            <w:col w:w="151" w:space="1287"/>
            <w:col w:w="151" w:space="0"/>
            <w:col w:w="-1"/>
          </w:cols>
          <w:noEndnote/>
        </w:sectPr>
      </w:pPr>
    </w:p>
    <w:p w:rsidR="00000000" w:rsidRDefault="008E62A6">
      <w:pPr>
        <w:widowControl w:val="0"/>
        <w:tabs>
          <w:tab w:val="left" w:pos="10454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6"/>
        <w:gridCol w:w="1786"/>
        <w:gridCol w:w="1949"/>
        <w:gridCol w:w="1133"/>
        <w:gridCol w:w="1143"/>
        <w:gridCol w:w="1123"/>
        <w:gridCol w:w="2199"/>
        <w:gridCol w:w="8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" w:bottom="720" w:left="1440" w:header="720" w:footer="720" w:gutter="0"/>
          <w:cols w:space="720" w:equalWidth="0">
            <w:col w:w="10463"/>
          </w:cols>
          <w:noEndnote/>
        </w:sectPr>
      </w:pPr>
    </w:p>
    <w:p w:rsidR="00000000" w:rsidRDefault="008E62A6">
      <w:pPr>
        <w:widowControl w:val="0"/>
        <w:tabs>
          <w:tab w:val="left" w:pos="597"/>
        </w:tabs>
        <w:autoSpaceDE w:val="0"/>
        <w:autoSpaceDN w:val="0"/>
        <w:adjustRightInd w:val="0"/>
        <w:spacing w:after="0" w:line="228" w:lineRule="exact"/>
        <w:ind w:left="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9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8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" w:bottom="720" w:left="1440" w:header="720" w:footer="720" w:gutter="0"/>
          <w:cols w:num="9" w:space="720" w:equalWidth="0">
            <w:col w:w="3998" w:space="304"/>
            <w:col w:w="1370" w:space="416"/>
            <w:col w:w="50" w:space="1900"/>
            <w:col w:w="50" w:space="1083"/>
            <w:col w:w="50" w:space="1093"/>
            <w:col w:w="50" w:space="1073"/>
            <w:col w:w="2082" w:space="117"/>
            <w:col w:w="879" w:space="0"/>
            <w:col w:w="-1"/>
          </w:cols>
          <w:noEndnote/>
        </w:sect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6"/>
        <w:gridCol w:w="1786"/>
        <w:gridCol w:w="1949"/>
        <w:gridCol w:w="1133"/>
        <w:gridCol w:w="1143"/>
        <w:gridCol w:w="1123"/>
        <w:gridCol w:w="2199"/>
        <w:gridCol w:w="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2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тупно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3" w:right="49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5" w:right="26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8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испытывающих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</w:t>
      </w:r>
    </w:p>
    <w:p w:rsidR="00000000" w:rsidRDefault="008E62A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</w:t>
      </w:r>
      <w:r>
        <w:rPr>
          <w:rFonts w:ascii="Times New Roman" w:hAnsi="Times New Roman" w:cs="Times New Roman"/>
          <w:color w:val="000000"/>
          <w:sz w:val="20"/>
          <w:szCs w:val="24"/>
        </w:rPr>
        <w:t>вонару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повторны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" w:bottom="720" w:left="1440" w:header="720" w:footer="720" w:gutter="0"/>
          <w:cols w:num="9" w:space="720" w:equalWidth="0">
            <w:col w:w="3929" w:space="344"/>
            <w:col w:w="1385" w:space="457"/>
            <w:col w:w="50" w:space="1794"/>
            <w:col w:w="50" w:space="1227"/>
            <w:col w:w="50" w:space="1083"/>
            <w:col w:w="50" w:space="1085"/>
            <w:col w:w="1799" w:space="333"/>
            <w:col w:w="886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23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6" w:bottom="720" w:left="1440" w:header="720" w:footer="720" w:gutter="0"/>
          <w:cols w:space="720" w:equalWidth="0">
            <w:col w:w="1044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10" w:right="1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25" w:lineRule="exact"/>
        <w:ind w:left="58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30" w:lineRule="exact"/>
        <w:ind w:left="586" w:right="6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проявлен</w:t>
      </w:r>
      <w:r>
        <w:rPr>
          <w:rFonts w:ascii="Times New Roman" w:hAnsi="Times New Roman" w:cs="Times New Roman"/>
          <w:color w:val="000000"/>
          <w:sz w:val="20"/>
          <w:szCs w:val="24"/>
        </w:rPr>
        <w:t>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разъяснительной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8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440" w:header="720" w:footer="720" w:gutter="0"/>
          <w:cols w:num="9" w:space="720" w:equalWidth="0">
            <w:col w:w="3864" w:space="409"/>
            <w:col w:w="1385" w:space="457"/>
            <w:col w:w="50" w:space="1794"/>
            <w:col w:w="50" w:space="1227"/>
            <w:col w:w="50" w:space="1083"/>
            <w:col w:w="50" w:space="1085"/>
            <w:col w:w="1793" w:space="339"/>
            <w:col w:w="884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25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декриминализацию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24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" w:bottom="720" w:left="1440" w:header="720" w:footer="720" w:gutter="0"/>
          <w:cols w:space="720" w:equalWidth="0">
            <w:col w:w="10457"/>
          </w:cols>
          <w:noEndnote/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2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10" w:right="49" w:bottom="660" w:left="1440" w:header="0" w:footer="0" w:gutter="0"/>
          <w:cols w:space="720"/>
          <w:noEndnote/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10" w:right="49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5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20,0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" w:bottom="720" w:left="1440" w:header="720" w:footer="720" w:gutter="0"/>
          <w:cols w:num="9" w:space="720" w:equalWidth="0">
            <w:col w:w="2169" w:space="2104"/>
            <w:col w:w="1385" w:space="457"/>
            <w:col w:w="50" w:space="1794"/>
            <w:col w:w="50" w:space="1227"/>
            <w:col w:w="50" w:space="1083"/>
            <w:col w:w="400" w:space="735"/>
            <w:col w:w="50" w:space="2082"/>
            <w:col w:w="50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32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" w:bottom="720" w:left="1440" w:header="720" w:footer="720" w:gutter="0"/>
          <w:cols w:space="720" w:equalWidth="0">
            <w:col w:w="10418"/>
          </w:cols>
          <w:noEndnote/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стимулирования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подготавливаемых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5" w:right="49" w:bottom="660" w:left="1440" w:header="0" w:footer="0" w:gutter="0"/>
          <w:cols w:space="720"/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33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7.6.  </w:t>
      </w:r>
      <w:r>
        <w:rPr>
          <w:rFonts w:ascii="Times New Roman" w:hAnsi="Times New Roman" w:cs="Times New Roman"/>
          <w:color w:val="000000"/>
          <w:sz w:val="20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Народная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удостоверениями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25,0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3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" w:bottom="720" w:left="1440" w:header="720" w:footer="720" w:gutter="0"/>
          <w:cols w:num="5" w:space="720" w:equalWidth="0">
            <w:col w:w="3662" w:space="6706"/>
            <w:col w:w="400" w:space="735"/>
            <w:col w:w="1479" w:space="653"/>
            <w:col w:w="913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5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25,0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" w:bottom="720" w:left="1440" w:header="720" w:footer="720" w:gutter="0"/>
          <w:cols w:num="9" w:space="720" w:equalWidth="0">
            <w:col w:w="2169" w:space="2104"/>
            <w:col w:w="1385" w:space="457"/>
            <w:col w:w="50" w:space="1794"/>
            <w:col w:w="50" w:space="1227"/>
            <w:col w:w="50" w:space="1083"/>
            <w:col w:w="400" w:space="735"/>
            <w:col w:w="50" w:space="2082"/>
            <w:col w:w="50" w:space="0"/>
            <w:col w:w="-1"/>
          </w:cols>
          <w:noEndnote/>
        </w:sectPr>
      </w:pPr>
    </w:p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2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здоровом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авторитет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" w:bottom="720" w:left="1440" w:header="720" w:footer="720" w:gutter="0"/>
          <w:cols w:space="720" w:equalWidth="0">
            <w:col w:w="10418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6"/>
        <w:gridCol w:w="1841"/>
        <w:gridCol w:w="1844"/>
        <w:gridCol w:w="1277"/>
        <w:gridCol w:w="1133"/>
        <w:gridCol w:w="1135"/>
        <w:gridCol w:w="2132"/>
        <w:gridCol w:w="8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25" w:lineRule="exact"/>
        <w:ind w:left="229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985"/>
        <w:gridCol w:w="1844"/>
        <w:gridCol w:w="1277"/>
        <w:gridCol w:w="1133"/>
        <w:gridCol w:w="1135"/>
        <w:gridCol w:w="2132"/>
        <w:gridCol w:w="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137,948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1985"/>
        <w:gridCol w:w="1844"/>
        <w:gridCol w:w="1277"/>
        <w:gridCol w:w="1133"/>
        <w:gridCol w:w="1135"/>
        <w:gridCol w:w="2132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137,948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217,948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137,948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E62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E62A6">
      <w:pPr>
        <w:widowControl w:val="0"/>
        <w:autoSpaceDE w:val="0"/>
        <w:autoSpaceDN w:val="0"/>
        <w:adjustRightInd w:val="0"/>
        <w:spacing w:after="0" w:line="260" w:lineRule="exact"/>
        <w:ind w:right="-40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10" w:right="28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19"/>
    <w:multiLevelType w:val="hybridMultilevel"/>
    <w:tmpl w:val="00004183"/>
    <w:lvl w:ilvl="0" w:tplc="000000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C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A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FA5"/>
    <w:multiLevelType w:val="hybridMultilevel"/>
    <w:tmpl w:val="0000364F"/>
    <w:lvl w:ilvl="0" w:tplc="00001F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D2C"/>
    <w:multiLevelType w:val="hybridMultilevel"/>
    <w:tmpl w:val="0000F1C3"/>
    <w:lvl w:ilvl="0" w:tplc="000015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A1C"/>
    <w:multiLevelType w:val="hybridMultilevel"/>
    <w:tmpl w:val="0000091E"/>
    <w:lvl w:ilvl="0" w:tplc="000021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2E6"/>
    <w:multiLevelType w:val="hybridMultilevel"/>
    <w:tmpl w:val="00012113"/>
    <w:lvl w:ilvl="0" w:tplc="00001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7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545C"/>
    <w:multiLevelType w:val="hybridMultilevel"/>
    <w:tmpl w:val="000142D6"/>
    <w:lvl w:ilvl="0" w:tplc="000016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8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740"/>
    <w:multiLevelType w:val="hybridMultilevel"/>
    <w:tmpl w:val="0000CAF7"/>
    <w:lvl w:ilvl="0" w:tplc="00000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C9D"/>
    <w:multiLevelType w:val="hybridMultilevel"/>
    <w:tmpl w:val="00011414"/>
    <w:lvl w:ilvl="0" w:tplc="00000C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DC5"/>
    <w:multiLevelType w:val="hybridMultilevel"/>
    <w:tmpl w:val="00007537"/>
    <w:lvl w:ilvl="0" w:tplc="00002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77F8"/>
    <w:multiLevelType w:val="hybridMultilevel"/>
    <w:tmpl w:val="00010229"/>
    <w:lvl w:ilvl="0" w:tplc="00000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9CF"/>
    <w:multiLevelType w:val="hybridMultilevel"/>
    <w:tmpl w:val="00003F4B"/>
    <w:lvl w:ilvl="0" w:tplc="00001D3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5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0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8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A251"/>
    <w:multiLevelType w:val="hybridMultilevel"/>
    <w:tmpl w:val="00007459"/>
    <w:lvl w:ilvl="0" w:tplc="00001B5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8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A329"/>
    <w:multiLevelType w:val="hybridMultilevel"/>
    <w:tmpl w:val="00009B7C"/>
    <w:lvl w:ilvl="0" w:tplc="00001A8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6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D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E0B"/>
    <w:multiLevelType w:val="hybridMultilevel"/>
    <w:tmpl w:val="000178D9"/>
    <w:lvl w:ilvl="0" w:tplc="00002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B5EC"/>
    <w:multiLevelType w:val="hybridMultilevel"/>
    <w:tmpl w:val="0001614B"/>
    <w:lvl w:ilvl="0" w:tplc="00000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9EC"/>
    <w:multiLevelType w:val="hybridMultilevel"/>
    <w:tmpl w:val="00010902"/>
    <w:lvl w:ilvl="0" w:tplc="000001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E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E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F557"/>
    <w:multiLevelType w:val="hybridMultilevel"/>
    <w:tmpl w:val="00014CE1"/>
    <w:lvl w:ilvl="0" w:tplc="00001B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E15"/>
    <w:multiLevelType w:val="hybridMultilevel"/>
    <w:tmpl w:val="000091A2"/>
    <w:lvl w:ilvl="0" w:tplc="000018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B5B"/>
    <w:multiLevelType w:val="hybridMultilevel"/>
    <w:tmpl w:val="00015D20"/>
    <w:lvl w:ilvl="0" w:tplc="000020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2F74"/>
    <w:multiLevelType w:val="hybridMultilevel"/>
    <w:tmpl w:val="0001170E"/>
    <w:lvl w:ilvl="0" w:tplc="000023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849"/>
    <w:multiLevelType w:val="hybridMultilevel"/>
    <w:tmpl w:val="0000C470"/>
    <w:lvl w:ilvl="0" w:tplc="000008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CDF"/>
    <w:multiLevelType w:val="hybridMultilevel"/>
    <w:tmpl w:val="0000E332"/>
    <w:lvl w:ilvl="0" w:tplc="00000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4EBE"/>
    <w:multiLevelType w:val="hybridMultilevel"/>
    <w:tmpl w:val="00009FFE"/>
    <w:lvl w:ilvl="0" w:tplc="00001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5653"/>
    <w:multiLevelType w:val="hybridMultilevel"/>
    <w:tmpl w:val="0000EDD6"/>
    <w:lvl w:ilvl="0" w:tplc="00000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5BDF"/>
    <w:multiLevelType w:val="hybridMultilevel"/>
    <w:tmpl w:val="000144F8"/>
    <w:lvl w:ilvl="0" w:tplc="00001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70C2"/>
    <w:multiLevelType w:val="hybridMultilevel"/>
    <w:tmpl w:val="0001223A"/>
    <w:lvl w:ilvl="0" w:tplc="000013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7771"/>
    <w:multiLevelType w:val="hybridMultilevel"/>
    <w:tmpl w:val="0000928B"/>
    <w:lvl w:ilvl="0" w:tplc="00000ED2">
      <w:start w:val="19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CE">
      <w:start w:val="19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5A">
      <w:start w:val="19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FA">
      <w:start w:val="19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C">
      <w:start w:val="19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E">
      <w:start w:val="19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A">
      <w:start w:val="19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0">
      <w:start w:val="19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5C">
      <w:start w:val="19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781C"/>
    <w:multiLevelType w:val="hybridMultilevel"/>
    <w:tmpl w:val="000139F0"/>
    <w:lvl w:ilvl="0" w:tplc="00002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847E"/>
    <w:multiLevelType w:val="hybridMultilevel"/>
    <w:tmpl w:val="00006E4B"/>
    <w:lvl w:ilvl="0" w:tplc="000008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7"/>
  </w:num>
  <w:num w:numId="5">
    <w:abstractNumId w:val="13"/>
  </w:num>
  <w:num w:numId="6">
    <w:abstractNumId w:val="16"/>
  </w:num>
  <w:num w:numId="7">
    <w:abstractNumId w:val="22"/>
  </w:num>
  <w:num w:numId="8">
    <w:abstractNumId w:val="21"/>
  </w:num>
  <w:num w:numId="9">
    <w:abstractNumId w:val="1"/>
  </w:num>
  <w:num w:numId="10">
    <w:abstractNumId w:val="9"/>
  </w:num>
  <w:num w:numId="11">
    <w:abstractNumId w:val="23"/>
  </w:num>
  <w:num w:numId="12">
    <w:abstractNumId w:val="11"/>
  </w:num>
  <w:num w:numId="13">
    <w:abstractNumId w:val="18"/>
  </w:num>
  <w:num w:numId="14">
    <w:abstractNumId w:val="26"/>
  </w:num>
  <w:num w:numId="15">
    <w:abstractNumId w:val="6"/>
  </w:num>
  <w:num w:numId="16">
    <w:abstractNumId w:val="8"/>
  </w:num>
  <w:num w:numId="17">
    <w:abstractNumId w:val="2"/>
  </w:num>
  <w:num w:numId="18">
    <w:abstractNumId w:val="15"/>
  </w:num>
  <w:num w:numId="19">
    <w:abstractNumId w:val="0"/>
  </w:num>
  <w:num w:numId="20">
    <w:abstractNumId w:val="12"/>
  </w:num>
  <w:num w:numId="21">
    <w:abstractNumId w:val="5"/>
  </w:num>
  <w:num w:numId="22">
    <w:abstractNumId w:val="14"/>
  </w:num>
  <w:num w:numId="23">
    <w:abstractNumId w:val="10"/>
  </w:num>
  <w:num w:numId="24">
    <w:abstractNumId w:val="27"/>
  </w:num>
  <w:num w:numId="25">
    <w:abstractNumId w:val="20"/>
  </w:num>
  <w:num w:numId="26">
    <w:abstractNumId w:val="24"/>
  </w:num>
  <w:num w:numId="27">
    <w:abstractNumId w:val="28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62A6"/>
    <w:rsid w:val="008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6115</Words>
  <Characters>34857</Characters>
  <Application>Microsoft Office Word</Application>
  <DocSecurity>4</DocSecurity>
  <Lines>290</Lines>
  <Paragraphs>81</Paragraphs>
  <ScaleCrop>false</ScaleCrop>
  <Company/>
  <LinksUpToDate>false</LinksUpToDate>
  <CharactersWithSpaces>40891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